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C-4841/2012 vom 14. August 2014</w:t>
      </w:r>
    </w:p>
    <w:p>
      <w:r>
        <w:t>Bundesverwaltungsgericht, 2014-08-14, DE</w:t>
      </w:r>
    </w:p>
    <w:p>
      <w:r>
        <w:rPr>
          <w:b/>
        </w:rPr>
        <w:t xml:space="preserve">Quelle: </w:t>
      </w:r>
      <w:r>
        <w:t>https://mcp.opencaselaw.ch/entscheid/bvger_C-4841_2012</w:t>
      </w:r>
    </w:p>
    <w:p>
      <w:r>
        <w:t>FR: TAF C-4841/2012 du 14 août 2014</w:t>
      </w:r>
    </w:p>
    <w:p>
      <w:r>
        <w:t>IT: TAF C-4841/2012 del 14 agosto 2014</w:t>
      </w:r>
    </w:p>
    <w:p>
      <w:pPr>
        <w:pStyle w:val="Heading2"/>
      </w:pPr>
      <w:r>
        <w:t>Regeste</w:t>
      </w:r>
    </w:p>
    <w:p>
      <w:r>
        <w:t>Beiträge</w:t>
      </w:r>
    </w:p>
    <w:p>
      <w:pPr>
        <w:pStyle w:val="Heading2"/>
      </w:pPr>
      <w:r>
        <w:t>Erwägungen</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2.2</w:t>
      </w:r>
    </w:p>
    <w:p>
      <w:r>
        <w:t>In zeitlicher Hinsicht sind grundsätzlich diejenigen materiellen Rechtssätze massgebend, die bei der Erfüllung des zu Rechtsfolgen führenden Tatbe­standes Geltung hatten (BGE 130 V 329 E. 2.3). Die Frage, ob die SAK die Berechnung der Al­tersrente des Beschwerde­führers korrekt durchgeführt hat, beurteilt sich somit grund­sätzlich nach den im Mai 2012 (Eintritt des Versicherungsfalls) gülti­gen Bestim­mungen des AHVG und der Verordnung über die Alters- und Hinterlas­senen­versicherung vom 31. Oktober 1947 (AHVV, SR 831.101).</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SAK die Beitragszeiten des Beschwerdeführers korrekt ermittelt und die Rente richtig berechnet hat. 3.1.1 Anspruch auf eine ordentliche Alters- oder Hinterlassenenrente haben die rentenberechtigten Personen, denen für mindestens ein volles Jahr Einkommen, Erziehungs- oder Betreuungsgutschriften an­ge­rechnet werden können, oder ihre Hinterlassenen (Art. 29 Abs. 1 AHVG). 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Der Bundesrat ordnet die Einzelheiten (Art. 30ter Abs. 1 AHVG). 3.1.2 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 3.1.3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 3.1.4 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w:t>
      </w:r>
    </w:p>
    <w:p>
      <w:r>
        <w:rPr>
          <w:b/>
        </w:rPr>
        <w:t>E. 3.2</w:t>
      </w:r>
    </w:p>
    <w:p>
      <w:r>
        <w:t>Der Beschwerdeführer machte in seiner Beschwerde geltend, für die Zeit von Juni 1973 bis Frühjahr 1976 seien ihm zu Unrecht keine Beiträge angerechnet worden. Es sei für die A._______ AG im Ausland tätig gewesen, weshalb er der obligatorischen Versicherung unterstanden habe. Dies sei auch der Grund gewesen, weshalb er in dieser Zeit nicht der freiwilligen Alters-, Hinterlassenen- und Invalidenversicherung beigetreten sei.</w:t>
      </w:r>
    </w:p>
    <w:p>
      <w:r>
        <w:rPr>
          <w:b/>
        </w:rPr>
        <w:t>E. 3.3</w:t>
      </w:r>
    </w:p>
    <w:p>
      <w:r>
        <w:t>Die SAK führte demgegenüber aus, trotz Nachforschungen sei es nicht möglich gewesen, für die behaupteten Beitragszeiten Belege zu finden. Eine Korrektur des individuellen Kontos sei deshalb nicht möglich.</w:t>
      </w:r>
    </w:p>
    <w:p>
      <w:r>
        <w:rPr>
          <w:b/>
        </w:rPr>
        <w:t>E. 3.4</w:t>
      </w:r>
    </w:p>
    <w:p>
      <w:r>
        <w:t>Wie erwähnt ist für die Korrektur eines individuellen Kontos erforderlich, dass der behauptete Sachverhalt nachgewiesen ist, sofern die Unrichtigkeit nicht offenkundig ist. In casu ist die Unrichtigkeit des individuellen Kontos nicht offenkundig, weshalb der Eintrag nur durch den Nachweis eines anderen Sachverhalts korrigiert werden kann. Aus den vorliegenden Unterlagen geht hervor, dass der Beschwerdeführer vom 19. Juni 1973 bis zum 17. April 1979 in Teheran gemeldet war (vgl. SAK-act. 59). Dies bestätigte der Beschwerdeführer mit seinen Angaben im Anmeldeformular indirekt, indem er angab, bis im Juni 1973 und dann wiederum ab November 1979 im Kanton Genf Wohnsitz gehabt zu haben (vgl. SAK-act. 57), zudem bestätigte er, dass er in jener Zeit für ein schweizerisches Unternehmen im Ausland tätig gewesen sei. Ferner ist aus den Akten ersichtlich, dass der Beschwerdeführer erst seit Februar 1976 der freiwilligen Alters-, Hinterlassenen- und Invalidenversicherung angehörte (vgl. die Zusammenstellung der Versicherungszeiten in SAK-act. 65 S. 4). Trotz Nachfrage der SAK vom 6. August 2012 bei der Ausgleichskasse 106.1 (vgl. SAK-act. 80) konnten keine Belege für zusätzliche Beitragszeiten für die Periode von Juli 1973 bis Januar 1976 gefunden werden. Die angefragte Ausgleichskasse bestätigte in ihrem Schreiben vom 9. August 2012, dass der Beschwerdeführer von Oktober 1972 bis Juni 1973 der Ausgleichskasse angeschlossen gewesen sei; weitere Versicherungszeiten verneinte sie. Auch der Beschwerdeführer konnte keine weiteren Beweise (namentlich: Arbeitsvertrag, Lohnabrechnungen, Angaben zur möglicherweise zuständigen Ausgleichskasse) beibringen und beschränkte sich darauf zu betonen, dass er in der fraglichen Zeit für eine schweizerische Firma im Ausland gearbeitet habe, weshalb er versichert gewesen sein müsse. Der Beschwerdeführer vermochte daher nicht zu belegen, dass er in der fraglichen Zeit versichert gewesen ist. Auch der Hinweis, er hätte sich bei fehlender Versicherungsdeckung bereits vor Februar 1976 der freiwilligen Versicherung angeschlossen, hilft hier nicht weiter. Der SAK ist zudem nicht vorzuwerfen, sie hätte den Sachverhalt ungenügend abgeklärt, holte sie doch ihrerseits bei der Ausgleichskasse Auskünfte über allfällige abgerechnete Löhne ein, woraus sich jedoch nichts zu Gunsten des Beschwerdeführers ableiten liess. Die im Einspracheverfahren ebenfalls bemängelten Beitragszeiten der Jahre 1967/1968 wurden im vorliegenden Verfahren durch den Beschwerdeführer nicht mehr angezweifelt, weshalb nicht weiter darauf einzugehen ist, zumal aus den Akten ersichtlich und von der SAK bestätigt worden ist, dass in diesen beiden Jahren keine Lücken bestehen. Als Ergebnis ist somit festzuhalten, dass sich aus den Akten keine Hinweise entnehmen lassen, dass die SAK die Beitragszeiten nicht korrekt festgestellt hätte. Auch der Beschwerdeführer konnte die von der SAK festgestellten Beitragszeiten nicht widerlegen, daher ist auf die Feststellungen der Vorinstanz respektive auf die Einträge im individuellen Konto abzustellen. In Bezug auf die weiteren Faktoren der Rentenberechnung macht der Beschwerdeführer keine Unregelmässigkeiten geltend und auch die Akten geben keinen Anlass, die Rentenberechnung anzuzweifeln. Zusammenfassend ist daher festzuhalten, dass die SAK die Altersrente des Beschwerdeführers korrekt ermittelt hat und die Beschwerde somit im einzelrichterlichen Verfahren gemäss Art. 23 Abs. 2 VGG in Verbindung mit Art. 85bis Abs. 3 AHVG abzuweisen ist.</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