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C-4840/2014 vom 9. Juni 2016</w:t>
      </w:r>
    </w:p>
    <w:p>
      <w:r>
        <w:t>Bundesverwaltungsgericht, 2016-06-09, IT</w:t>
      </w:r>
    </w:p>
    <w:p>
      <w:r>
        <w:rPr>
          <w:b/>
        </w:rPr>
        <w:t xml:space="preserve">Quelle: </w:t>
      </w:r>
      <w:r>
        <w:t>https://mcp.opencaselaw.ch/entscheid/bvger_C-4840_2014</w:t>
      </w:r>
    </w:p>
    <w:p>
      <w:r>
        <w:t>FR: TAF C-4840/2014 du 9 juin 2016</w:t>
      </w:r>
    </w:p>
    <w:p>
      <w:r>
        <w:t>IT: TAF C-4840/2014 del 9 giugno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artt. 33 e 34 LTAF.</w:t>
      </w:r>
    </w:p>
    <w:p>
      <w:r>
        <w:rPr>
          <w:b/>
        </w:rPr>
        <w:t>E. 1.2</w:t>
      </w:r>
    </w:p>
    <w:p>
      <w:r>
        <w:t>In particolare, le decisioni in materia di divieto d'entrata in Svizzera rese dalla SEM - la quale costituisce un'unità dell'amministrazione federale come definita all'art. 33 lett. d LTAF - possono essere impugnate dinnanzi al Tribunale che nella presente fattispecie statuisce quale autorità di grado inferiore al Tribunale federale (art. 1 cpv. 2 LTAF in relazione con l'art. 11 par. 1 e 3 ALC e l'art. 83 lett. c cifra 1 LTF; cfr.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Conformemente all'art. 67 cpv. 1 LStr (RS 142.20), la SEM vieta l'entrata in Svizzera, fatto salvo il cpv. 5, ad uno straniero allontanato se, l'allontanamento è eseguito immediatamente in virtù dell'articolo 64d capoverso 2 lettere a-c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dell'ordine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dev'essere effettuato tenendo presente le garanzie derivanti dalla CEDU così come del principio della proporzionalità (DTF 131 II 352 consid. 3.3 e numerosi rinvii).</w:t>
      </w:r>
    </w:p>
    <w:p>
      <w:r>
        <w:rPr>
          <w:b/>
        </w:rPr>
        <w:t>E. 5.1</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ai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5.4</w:t>
      </w:r>
    </w:p>
    <w:p>
      <w:r>
        <w:t>A tal proposito la recente giurisprudenza ha stabilito che la nozione di «pericolo grave» richiede un grado di gravità maggiore al «semplice» pericolo o minaccia all'ordine e la sicurezza pubblici (art. 67 cpv. 2 lett.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op. cit., ad art. 67 LStr, n. marg. 5, pag. 271; Andrea Binder Oser, in: Caroni et al., Bundesgesetz über die Ausländerinnen und Ausländer,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(DTF 139 II 121 consid. 6).</w:t>
      </w:r>
    </w:p>
    <w:p>
      <w:r>
        <w:rPr>
          <w:b/>
        </w:rPr>
        <w:t>E. 6.1</w:t>
      </w:r>
    </w:p>
    <w:p>
      <w:r>
        <w:t>Nella fattispecie in disamina, la SEM ha pronunciato nei confronti di A._______ un divieto d'entrata di 20 anni, che è stato emesso nel 2014 e pertanto prenderà fine il 15 aprile 2034, ritenendo che l'interessato abbia violato e minacciato la sicurezza e l'ordine pubblici, interessando le autorità penali ticinesi per i reati di coazione sessuale, violenza carnale e grave infrazione alle norme della circolazione.</w:t>
      </w:r>
    </w:p>
    <w:p>
      <w:r>
        <w:rPr>
          <w:b/>
        </w:rPr>
        <w:t>E. 6.2</w:t>
      </w:r>
    </w:p>
    <w:p>
      <w:r>
        <w:t>Dalle tavole processuali si evince infatti che A._______ si trova in Svizzera dal 2005 dove ha esercitato la professione di pizzaiolo. Il 14 agosto 2013 la Corte delle assise criminali di Lugano lo ha riconosciuto colpevole dei reati di coazione sessuale, violenza carnale e grave infrazione alle norme della circolazione, infliggendogli una pena detentiva di 3 anni e 3 mesi non sospesa. La notte tra il 26 e il 27 luglio 2012 l'interessato aveva infatti costretto una minorenne a subire dapprima un atto analogo alla congiunzione carnale o un altro atto sessuale usando violenza e rendendola inetta a resistere, successivamente A._______ era riuscito nel suo intento di fare subire alla vittima la congiunzione carnale usando violenza o minaccia. La condanna per grave infrazione alla LCStr (RS 741.01) si riferisce invece ai fatti avvenuti durante il mese di agosto 2010 quando il ricorrente aveva circolato ad una velocità ampiamente superiore al limite consentito, filmando nel contempo il tachimetro e dunque distogliendo il proprio sguardo dalla guida (cfr. sentenza della Corte delle assise criminali di Lugano del 14 agosto 2013, pagg. 1-14 dell'incarto Simic).</w:t>
      </w:r>
    </w:p>
    <w:p>
      <w:r>
        <w:rPr>
          <w:b/>
        </w:rPr>
        <w:t>E. 6.3</w:t>
      </w:r>
    </w:p>
    <w:p>
      <w:r>
        <w:t>Sulla base di queste circostanze, vista la gravità e la pericolosità delle infrazioni commesse ed alla luce dei beni giuridici estremamente sensibili toccati, quali l'integrità sessuale, il provvedimento avversato soddisfa le condizioni che permettono all'autorità di derogare al principio della libera circolazione sancito dall'ALC. Occorre infatti ricordare che le autorità elvetiche si mostrano alquanto severe verso i cittadini stranieri che si sono resi colpevoli di atti di violenza o contro l'integrità sessuale di una certa gravità, e ciò a prescindere dal fatto che la persona in questione abbia vissuto in Svizzera per molti anni (cfr. DTF 130 II 176 consid. 4.4.2; sentenze del TF 2C_903/2010 del 6 giugno 2011 consid. 3.1 e 2C_78/2008 del 17 giugno 2008 consid. 2.1). Ne discende inoltre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 nonché a quelli dell'art. 67 cpv. 3 2a frase LStr per quanto concerne il grado di gravità della minaccia.</w:t>
      </w:r>
    </w:p>
    <w:p>
      <w:r>
        <w:rPr>
          <w:b/>
        </w:rPr>
        <w:t>E. 6.4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7.2</w:t>
      </w:r>
    </w:p>
    <w:p>
      <w:r>
        <w:t>Nel suo gravame A._______ ha addotto che dal suo arrivo in Svizzera nel 2005 si è perfettamente integrato, intrattenendo numerose amicizie sia con cittadini elvetici che stranieri, avendo sempre esercitato il mestiere di pizzaiolo e avendo delitto unicamente in occasione dei fatti che hanno condotto alla condanna del 14 agosto 2013. Il ricorrente ha inoltre affermato di avere compreso la gravità degli errori commessi, sottolineando la sua decisione di sospendere i legami con il fratello che di fatto lo ha portato a delinquere e la sua volontà di condurre in futuro una vita responsabile e rispettosa della legalità. A mente del Tribunale queste argomentazioni non permettono di concludere che il rischio di recidiva possa essere senz'altro escluso. Con riferimento in particolare ai delitti commessi nella notte tra il 26 e il 27 luglio 2012, quando il ricorrente si è macchiato dei reati di coazione sessuale e violenza carnale, occorre prendere atto che l'agire di A._______ ha denotato un grado di pericolosità e di efferatezza elevato, poiché dopo avere commesso un primo abuso ai danni di una ragazza allora minorenne (abuso qualificato dal giudice penale come una coazione sessuale), egli ha continuato a delinquere facendo subire alla vittima anche la congiunzione carnale. Va altresì sottolineato che in entrambi i casi A._______ ha agito esercitando violenza e rendendo la giovane vittima inetta a resistere, nonostante quest'ultima avesse chiaramente espresso il proprio rifiuto ad intrattenere qualsivoglia relazione con il ricorrente. L'autorità penale che aveva giudicato i crimini dell'interessato ha infatti considerato che «l'agire di A._______ è oggettivamente di notevole gravità per la ripetizione a breve distanza di gravi reati in danno dell'integrità sessuale della sua giovane vittima» (cfr. sentenza Corte delle assise criminali di Lugano del 14 agosto 2013, pag. 5 dell'incarto Simic). Alla luce di queste circostanze il Tribunale è dell'avviso che non è possibile esprimere un pronostico favorevole a proposito del rischio di recidiva di A._______, non potendosi totalmente e senz'altro escludere che in futuro possa incorrere in atti simili qualora si trovasse in situazioni simili a quella testé citata. Va inoltre considerato che i delitti commessi sono ancora relativamente recenti e che da allora A._______ ha passato buona parte del tempo trascorso in una struttura carceraria, non è di conseguenza possibile stabilire con certezza se dalla liberazione avvenuta il 7 luglio 2015 egli si sia reinserito con successo nella società. Ne discende che, per quanto attiene alla questione dell'attualità della minaccia per l'ordine e la sicurezza pubblici rappresentata dal ricorrente, a mente del Tribunale, il provvedimento avversato soddisfa le condizioni che permettono all'autorità di derogare al principio della libera circolazione sancito dall'ALC ed emanare un divieto d'entrata di lunga durata.</w:t>
      </w:r>
    </w:p>
    <w:p>
      <w:r>
        <w:rPr>
          <w:b/>
        </w:rPr>
        <w:t>E. 8.1</w:t>
      </w:r>
    </w:p>
    <w:p>
      <w:r>
        <w:t>Il divieto d'entrata in Svizzera è quindi confermato nel suo principio. Resta ora da stabilire se la durata della misura, fissata a 20 anni dall'autorità intimata, è adeguata alle circostanze del caso concreto.</w:t>
      </w:r>
    </w:p>
    <w:p>
      <w:r>
        <w:rPr>
          <w:b/>
        </w:rPr>
        <w:t>E. 8.2</w:t>
      </w:r>
    </w:p>
    <w:p>
      <w:r>
        <w:t>Il principio di proporzionalità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A._______ si è unicamente richiamato al fatto di sentirsi perfettamente integrato nel Cantone Ticino, dove intrattiene diversi rapporti di amicizia ed è apprezzato. Il ricorrente ha altresì dichiarato di avere un grande legame affettivo con una persona che reputa come una figura paterna. L'interessato ha inoltre espresso l'auspicio di potersi reinserire con successo nella società e di un giorno fondare una famiglia, per questo motivo egli postula una riduzione della durata del divieto d'entrata pronunciato dall'autorità inferiore nei suoi confronti (cfr. atto di ricorso dell'8 maggio 2014, atto 2 dell'incarto TAF C-4840/2014; nonché osservazioni del 22 ottobre 2014, atto 6 dell'incarto TAF C-4840/2014).</w:t>
      </w:r>
    </w:p>
    <w:p>
      <w:r>
        <w:rPr>
          <w:b/>
        </w:rPr>
        <w:t>E. 8.5</w:t>
      </w:r>
    </w:p>
    <w:p>
      <w:r>
        <w:t>Il Tribunale costata che A._______ non ha in realtà sollevato interessi privati atti a prevalere sull'interesse pubblico al suo allontanamento dal territorio elvetico, non avendo ad esempio invocato interessi in ambito familiare ai sensi dell'art. 8 CEDU. Al contrario ha ammesso di non avere più alcun contatto con il fratello (cfr. consid. 7.2 supra) e vivendo i genitori in Italia (cfr. lett. B. supra). Il ricorrente ha unicamente fatto riferimento alla presenza in Svizzera di una persona che egli reputa alla stregua di una figura paterna e che questa persona lo ha sostenuto nei momenti difficili. L'interessato non ha però specificato quale sia la natura e l'intensità di detto legame, il quale non può dunque beneficiare della protezione del diritto al rispetto della vita privata e familiare ai sensi dell'art. 8 CEDU, che mira a garantire in particolare i rapporti tra i coniugi, nonché quelli tra genitori e figli minorenni che vivono in comunione.</w:t>
      </w:r>
    </w:p>
    <w:p>
      <w:r>
        <w:rPr>
          <w:b/>
        </w:rPr>
        <w:t>E. 9.1</w:t>
      </w:r>
    </w:p>
    <w:p>
      <w:r>
        <w:t>Ciò posto, dopo un'attenta ponderazione degli interessi pubblici e privati in causa, a mente di questo Tribunale l'interesse pubblico al mantenimento dell'ordine e della sicurezza pubblici prevale in casu sull'interesse privato del ricorrente a potersi recare in Svizzera.</w:t>
      </w:r>
    </w:p>
    <w:p>
      <w:r>
        <w:rPr>
          <w:b/>
        </w:rPr>
        <w:t>E. 9.2</w:t>
      </w:r>
    </w:p>
    <w:p>
      <w:r>
        <w:t>Tenuto conto dell'insieme di queste circostanze, il Tribunale considera che il divieto d'entrata deciso dall'autorità inferiore il 16 aprile 2014 appare e necessario ed adeguato nel suo principio. Codesta autorità giudicante ritiene tuttavia che la durata, fissata dalla SEM fino al 15 aprile 2034, dunque per un totale di 20 anni, debba essere ridotta. In applicazione dell'art. 121 cpv. 5 Cost. la giurisprudenza ha avuto modo di stabilire che in caso di grave pericolo per l'ordine e la sicurezza pubblici tale da giustificare il superamento della durata massima di cinque anni prevista all'art. 67 cpv. 3 1a frase LStr, quest'ultima non può superare 15 anni (20 anni in caso di recidiva) (cfr. DTAF 2014/20 consid. 7). Il Tribunale ha altresì stabilito che i comportamenti delittuosi commessi dalla persona toccata dal provvedimento di allontanamento dal suolo elvetico devono aver denotato un'energia criminale particolarmente elevata. In altre parole, è giustificato comminare un divieto d'entrata della durata di 15 anni qualora l'interessato si sia prodigato in atti caratteristici di una criminalità particolarmente grave con dimensione transfrontaliera (atti di terrorismo, tratta di esseri umani, traffico di droga o criminalità organizzata), qualora abbia ripetutamente commesso infrazioni gravi contro beni giuridici sensibili - come ad esempio la vita o l'integrità fisica - oppure abbia agito in maniera che non sia possibile emettere una prognosi favorevole (cfr. DTAF 2014/20 consid. 8.2). Sebbene come si è visto i comportamenti tenuti da A._______ fossero assai gravi, essi non rientrano nella casistica evidenziata dalla testé citata giurisprudenza. Occorre altresì sottolineare che i delitti contro l'integrità sessuale commessi si riferiscono ad un unico episodio e dagli atti non risulta che in passato il ricorrente si sia macchiato di delitti simili.</w:t>
      </w:r>
    </w:p>
    <w:p>
      <w:r>
        <w:rPr>
          <w:b/>
        </w:rPr>
        <w:t>E. 9.3</w:t>
      </w:r>
    </w:p>
    <w:p>
      <w:r>
        <w:t>In esito alle considerazioni che precedono e conformemente alla citata giurisprudenza, si giustifica una riduzione della durata del divieto d'entrata emanato dalla SEM a 10 anni, di conseguenza i suoi effetti devono essere limitati al 15 aprile 2024.</w:t>
      </w:r>
    </w:p>
    <w:p>
      <w:r>
        <w:rPr>
          <w:b/>
        </w:rPr>
        <w:t>E. 10</w:t>
      </w:r>
    </w:p>
    <w:p>
      <w:r>
        <w:t>Da quanto esposto, la decisione impugnata non è conforme al diritto federale (cfr. art. 49 PA) e deve essere riformata. Ne discende che il ricorso, concludente alla riduzione del provvedimento, deve essere accolto. Non si prelevano spese e l'anticipo versato in data 18 giugno 2014 è restituito al ricorrente. Nessuna spesa processuale è messa a carico dell'autorità inferiore.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