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C-4831/2012 vom 24. Juni 2014</w:t>
      </w:r>
    </w:p>
    <w:p>
      <w:r>
        <w:t>Bundesverwaltungsgericht, 2014-06-24, DE</w:t>
      </w:r>
    </w:p>
    <w:p>
      <w:r>
        <w:rPr>
          <w:b/>
        </w:rPr>
        <w:t xml:space="preserve">Quelle: </w:t>
      </w:r>
      <w:r>
        <w:t>https://mcp.opencaselaw.ch/entscheid/bvger_C-4831_2012</w:t>
      </w:r>
    </w:p>
    <w:p>
      <w:r>
        <w:t>FR: TAF C-4831/2012 du 24 juin 2014</w:t>
      </w:r>
    </w:p>
    <w:p>
      <w:r>
        <w:t>IT: TAF C-4831/2012 del 24 giugno 2014</w:t>
      </w:r>
    </w:p>
    <w:p>
      <w:pPr>
        <w:pStyle w:val="Heading2"/>
      </w:pPr>
      <w:r>
        <w:t>Regeste</w:t>
      </w:r>
    </w:p>
    <w:p>
      <w:r>
        <w:t>Zuständigkeit SUVA</w:t>
      </w:r>
    </w:p>
    <w:p>
      <w:pPr>
        <w:pStyle w:val="Heading2"/>
      </w:pPr>
      <w:r>
        <w:t>Erwägungen</w:t>
      </w:r>
    </w:p>
    <w:p>
      <w:r>
        <w:rPr>
          <w:b/>
        </w:rPr>
        <w:t>E. 1.1</w:t>
      </w:r>
    </w:p>
    <w:p>
      <w:r>
        <w:t>Das Bundesverwaltungsgericht ist gemäss Art. 109 Bst. a UVG in Verbindung mit Art. 31 ff. des Verwaltungsgerichtsgesetzes vom 17. Juni 2005 (VGG, SR 173.32) für die Beurteilung der vorliegenden Streitsache prinzipiell zuständig. Das Verfahren richtet sich grundsätzlich nach dem Bundesgesetz vom 20. Dezember 1968 über das Verwaltungsverfahren (VwVG, SR 172.021 [vgl. Art. 37 VGG]). Vorbehalten bleiben gemäss Art. 3 Bst. dbis VwVG die besonderen Bestimmungen des ATSG. Gemäss Art. 1 Abs. 1 UVG sind die Bestimmungen des ATSG auf die Unfallversicherung anwendbar, soweit das vorliegende Gesetz nicht ausdrücklich eine Abweichung vom ATSG vorsieht; eine Ausnahme gemäss Art. 1 Abs. 2 UVG ist vorliegend nicht gegeben.</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1.3</w:t>
      </w:r>
    </w:p>
    <w:p>
      <w:r>
        <w:t>Nach Art. 62 Abs. 4 VwVG sind Gerichte gemäss dem Grundsatz der Rechtsanwendung von Amtes wegen nicht an die Begründung der Begehren der Parteien gebunden.</w:t>
      </w:r>
    </w:p>
    <w:p>
      <w:r>
        <w:rPr>
          <w:b/>
        </w:rPr>
        <w:t>E. 1.4</w:t>
      </w:r>
    </w:p>
    <w:p>
      <w:r>
        <w:t>Mit dem Einspracheentscheid vom 27. Juli 2012 werden Rechte und Pflichte des A._______ geregelt werden. Dieses hat als Partei am vor-instanzlichen Verfahren teilgenommen, ist durch den angefochtenen Entscheid vom 27. Juli 2012 be­sonders berührt und hat an dessen Aufhebung ein schutzwürdiges Interesse (vgl. Art. 48 Abs. 1 Bst. a bis c VwVG). Nachdem auch der Kostenvorschuss von Fr. 2'000.- innert Frist geleistet worden ist, ist auf die frist- und formgerecht (vgl. Art. 22a in Verbindung mit Art. 50 Abs. 1 und Art. 52 Abs. 1 VwVG) eingereichte Beschwerde des FSP grundsätzlich einzutreten.</w:t>
      </w:r>
    </w:p>
    <w:p>
      <w:r>
        <w:rPr>
          <w:b/>
        </w:rPr>
        <w:t>E. 1.5.1</w:t>
      </w:r>
    </w:p>
    <w:p>
      <w:r>
        <w:t>Im verwaltungsgerichtlichen Beschwerdeverfahren sind grundsätzlich nur Rechtsverhältnisse zu überprüfen und zu beurteilen, zu denen die zuständige Verwaltungsbehörde vorgängig verbindlich - in Form einer Verfügung oder eines Einspracheentscheides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(resp. diesen gleichgestellte Einspracheentscheide [Art. 5 Abs. 2 VwVG]) und - materiell - die in den Verfügungen geregelten Rechtsverhältnisse (BGE 125 V 413 E. 2a). Der Begriff der Verfügung bestimmt sich dabei mangels näherer Konkretisierung in Art. 49 Abs. 1 ATSG nach Massgabe von Art. 5 VwVG (BGE 130 V 388 E. 2.3).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Streitgegenstand bildet das auf Grund der Beschwerdebegehren tatsächlich angefochtene Rechtsverhältnis. Anfechtungs- und Streitgegenstand beziehen sich auf ein (materielles) Rechtsverhältnis. Bezieht sich also die Beschwerde nur auf einzelne der durch die Verfügung bestimmten Rechtsverhältnisse, gehören die nicht beanstandeten - verfügungsweise festgelegten - Rechtsverhältnisse zwar wohl zum Anfechtungs-, aber nicht zum Streitgegenstand (vgl. BGE 125 V 413 E. 2a).</w:t>
      </w:r>
    </w:p>
    <w:p>
      <w:r>
        <w:rPr>
          <w:b/>
        </w:rPr>
        <w:t>E. 1.5.2</w:t>
      </w:r>
    </w:p>
    <w:p>
      <w:r>
        <w:t>Anfechtungsobjekt bildet der Einspracheentscheid der Suva vom 27. Juli 2012, mit welchem die Verfügung vom 24. November 2011 - auch ohne explizite Bestätigung dieser Verfügung - ersetzt resp. das Verwaltungsverfahren abgeschlossen wurde (vgl. zum Ganzen BGE 132 V 368 E. 6.1 mit Hinweisen; vgl. auch Kieser, ATSG-Kommentar, Rz. 39 zu Art. 52 ATSG). Streitig und zu prüfen ist, ob dieser Entscheid rechtmässig ergangen ist und in diesem Zusammenhang insbesondere, ob die per 1. Januar 2012 erfolgte Umwandlung des A._______ von einer Dienststelle des Kantons B._______ in eine öffentlich-rechtliche Anstalt mit eigener Rechtspersönlichkeit eine Berechtigung des Beschwerdeführers ausgelöst hat, den Unfallversicherer - die E._______ - neu zu wählen.</w:t>
      </w:r>
    </w:p>
    <w:p>
      <w:r>
        <w:rPr>
          <w:b/>
        </w:rPr>
        <w:t>E. 1.5.3</w:t>
      </w:r>
    </w:p>
    <w:p>
      <w:r>
        <w:t>Die Höhe der Prämiensätze wurde nicht gerügt, weshalb diese nicht weiter zu prüfen sind. Anzumerken ist jedoch an dieser Stelle, dass die Prämienfestsetzung, die in der Verfügung vom 24. November 2011 angeordnet worden war, nicht etwa in Teilrechtskraft erwachsen ist, da die verfügten Prämiensätze mit der Aufhebung des angefochtenen Einspracheentscheids vom 27. Juli 2012 (vgl. E. 4. hiernach) - welcher die Verfügung vom 24. November 2011 ersetzt hat - keine Wirkung entfalten können. Im Rahmen der unaufgefordert eingereichten Eingabe des Beschwerdeführers vom 6. Februar 2014 wurde zusammengefasst ausgeführt, die Suva habe die Nettoprämien gegenüber dem D._______ um zirka 10 % erhöht (B-act. 24). Diese (neu) verfügten Prämiensätze bilden nicht Streitgegenstand des vorliegenden Beschwerdeverfahrens.</w:t>
      </w:r>
    </w:p>
    <w:p>
      <w:r>
        <w:rPr>
          <w:b/>
        </w:rPr>
        <w:t>E. 1.5.4</w:t>
      </w:r>
    </w:p>
    <w:p>
      <w:r>
        <w:t>Nicht streitig und zu prüfen ist weiter, dass der Beschwerdeführer nicht dem Versicherungsobligatorium bei der Suva nach Art. 66 UVG untersteht (RKUV 1987 Nr. U 29 S. 427 E. 2b).</w:t>
      </w:r>
    </w:p>
    <w:p>
      <w:r>
        <w:rPr>
          <w:b/>
        </w:rPr>
        <w:t>E. 1.5.5</w:t>
      </w:r>
    </w:p>
    <w:p>
      <w:r>
        <w:t>Schliesslich ist darauf hinzuweisen, dass die Fragen betreffend die Belange des öffentlichen Ausschreibungsverfahrens und der Vergabe, dessen Modalitäten sowie die von der Suva im Rahmen dieses Verfahrens eingereichte Offerte ebenfalls nicht Streitgegenstand des vorliegenden Verfahrens bilden. Auf die einschlägigen Ausführungen ist deshalb ebenfalls nicht weiter einzutreten.</w:t>
      </w:r>
    </w:p>
    <w:p>
      <w:r>
        <w:rPr>
          <w:b/>
        </w:rPr>
        <w:t>E. 2</w:t>
      </w:r>
    </w:p>
    <w:p>
      <w:r>
        <w:t>Nachfolgend ist Art. 75 UVG einer Analyse zu unterziehen:</w:t>
      </w:r>
    </w:p>
    <w:p>
      <w:r>
        <w:rPr>
          <w:b/>
        </w:rPr>
        <w:t>E. 2.1</w:t>
      </w:r>
    </w:p>
    <w:p>
      <w:r>
        <w:t>Gemäss Art. 75 Abs. 1 UVG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w:t>
      </w:r>
    </w:p>
    <w:p>
      <w:r>
        <w:rPr>
          <w:b/>
        </w:rPr>
        <w:t>E. 2.1.1</w:t>
      </w:r>
    </w:p>
    <w:p>
      <w:r>
        <w:t>Im Rahmen der Ausarbeitung des UVG konnte die Suva den "Besitzstand" wahren, den sie beim Auslaufen des Bundesgesetzes über die Kranken- und Unfallversicherung (KUVG; AS 1995 1363) besass: Betriebe, die ihr unterstellt waren, sollten es auch nach neuem Recht bleiben. Aufgrund des in Art. 75 Abs. 1 UVG eingeräumten Wahlrechts können die Berechtigten zwischen der Suva und anderen Versicherungsträgern nach UVG wählen. Allein das Wahlrecht konnten die "bereits bestehenden öffentlichen Verwaltungen" nur bis zum 31. Oktober 1983 ausüben (vgl. Alfred Maurer, Schweizerisches Unfallversicherungsrecht, Bern, 1985, S. 51; vgl. auch Botschaft zum UVG vom 18. August 1976 S. 176 f. und S. 212 [BBl 1976 III 141]). Übte eine öffentliche Verwaltung das Wahlrecht nicht rechtzeitig aus, so waren ihre Arbeitnehmer bei der Suva versichert (Art. 3 Abs. 4 der Verordnung über die Inkraftsetzung und Einführung des UVG vom 20. September 1982 [im Folgenden: VO Inkraftsetzung/Einführung UVG; AS 1982 1724]).</w:t>
      </w:r>
    </w:p>
    <w:p>
      <w:r>
        <w:rPr>
          <w:b/>
        </w:rPr>
        <w:t>E. 2.1.2</w:t>
      </w:r>
    </w:p>
    <w:p>
      <w:r>
        <w:t>Mit Blick auf die in Art. 3 Abs. 1 VO Inkraftsetzung/Einführung UVG normierte zeitliche Begrenzung zur Ausübung des Wahlrechts und den Wortlaut von Art. 75 Abs. 1 UVG ist erstellt, dass diese Gesetzesbestimmung eine intertemporalrechtliche Bedeutung gehabt hatte resp. sich der Beschwerdeführer - vor der Verselbstständigung - im Rahmen des Inkrafttretens des UVG damals für die Suva als Unfallversicherer entschieden hatte, was unbestritten ist. Damit kann es vorliegend jedoch nicht sein Bewenden haben:</w:t>
      </w:r>
    </w:p>
    <w:p>
      <w:r>
        <w:rPr>
          <w:b/>
        </w:rPr>
        <w:t>E. 2.1.3</w:t>
      </w:r>
    </w:p>
    <w:p>
      <w:r>
        <w:t>Obwohl im Gesetz betreffend Art. 75 UVG auf die VO Inkraftsetzung/Einführung UVG hingewiesen wird und Art. 75 Abs. 1 UVG im Rahmen seiner intertemporalrechtlichen Bedeutung seine Massgeblichkeit im Zeitpunkt des angefochtenen Einspracheentscheids vom 27. Juli 2012 verloren hatte, ist entgegen der Auffassung der Suva nicht von einer bloss intertemporalrechtlichen Bedeutung von Art. 75 UVG auszugehen, was sich bereits aus der systematischen Stellung dieser Gesetzesbestimmung ergibt. Hätte Art. 75 UVG bloss intertemporalrechtliche Bedeutung für das Wahlrecht vor Inkrafttreten des UVG gehabt, hätte sie ihren Niederschlag in den Schluss- und Übergangsbestimmungen finden müssen. Dass Art. 75 UVG in der Folge nicht obsolet geworden war, zeigt sich insbesondere auch mit Blick auf Art. 75 Abs. 2 UVG - wonach Verwaltungen und Betriebe, die eine Einheit bilden, beim gleichen Versicherer versichert werden - und Art. 98 Abs. 1 UVV, wo sich eine Umschreibung des Begriffs "Einheit" findet, sowie an Art. 98 Abs. 2 UVV, wo von neu geschaffenen Verwaltungs- und Betriebseinheiten die Rede ist. Dass - wie von der Vorinstanz vorgebracht - die Verordnungsbestimmung von Art. 98 UVV der Gesetzesnorm von Art. 75 UVG widerspricht, trifft, wie die nachfolgenden Erwägungen verdeutlichen, nicht zu.</w:t>
      </w:r>
    </w:p>
    <w:p>
      <w:r>
        <w:rPr>
          <w:b/>
        </w:rPr>
        <w:t>E. 2.2.1</w:t>
      </w:r>
    </w:p>
    <w:p>
      <w:r>
        <w:t>Gemäss Art. 98 Abs. 1 UVV bilden Zweige der öffentlichen Verwaltungen und öffentliche Betriebe je eine Einheit, wenn sie organisatorisch selbständig sind. Solche Einheiten müssen beim gleichen Versicherer versichert werden. Neu geschaffene Verwaltungs- und Betriebseinheiten müssen die Wahl des Versicherers spätestens einen Monat vor der Aufnahme der Tätigkeit treffen. Den Vertretern der Arbeitnehmer ist ein Mitbestimmungsrecht einzuräumen (Art. 98 Abs. 2 UVV). Übt eine öffentliche Verwaltung das Wahlrecht nicht rechtzeitig aus, so sind ihre Arbeitnehmer bei der SUVA versichert (Art. 98 Abs. 3 UVV). Gemäss Art. 98 Abs. 4 UVV üben die öffentlichen Verwaltungen ihr Wahlrecht aus, indem sie dem gewählten Versicherer einen schriftlichen Versicherungsantrag unter Angabe der davon betroffenen Verwaltungs- und Betriebseinheiten zustellen.</w:t>
      </w:r>
    </w:p>
    <w:p>
      <w:r>
        <w:rPr>
          <w:b/>
        </w:rPr>
        <w:t>E. 2.2.2</w:t>
      </w:r>
    </w:p>
    <w:p>
      <w:r>
        <w:t>Für gesetzesvertretende Verordnungen bedarf der Bundesrat einer ausdrücklichen Delegationsnorm (vgl. Ulrich Häfelin/Georg Müller/Felix Uhlmann, Allgemeines Verwaltungsrecht, 6. Auflage, Zürich/ St. Gallen 2010, Rz. 143 S. 32). Das Kriterium der Unterscheidung von selbstständigen und unselbstständigen Verordnungen liegt darin, ob sich die Rechtsgrundlage der Verordnung in der Verfassung oder in einem Gesetz findet. Unselbstständige Verordnungen beruhen auf einer Ermächtigung zur Rechtsetzung in einem Gesetz (vgl. Ulrich Häfelin/Georg Müller/Felix Uhlmann, a.a.O., Rz. 146 und 150 S. 33). Die Gesetzesdelegation ist nur zulässig, wenn die Gesetzesdelegation nicht durch die Verfassung ausgeschlossen ist, die Delegationsnorm in einem Gesetz enthalten ist, die Delegation sich auf eine bestimmte, genau umschriebene Materie beschränkt und die Grundzüge der delegierten Materie in einem Gesetz umschrieben sind (vgl. BGE 134 I 322 und 128 I 113).</w:t>
      </w:r>
    </w:p>
    <w:p>
      <w:r>
        <w:rPr>
          <w:b/>
        </w:rPr>
        <w:t>E. 2.2.3</w:t>
      </w:r>
    </w:p>
    <w:p>
      <w:r>
        <w:t>Bei Art. 98 UVV - welche sich auf Art. 75 UVG stützt - handelt es sich um eine unselbstständige Verordnungsbestimmung des Bundesrates. Bei solchen Verordnungen prüft das Bundesgericht, ob sich der Bundesrat an die Grenzen der ihm im Gesetz eingeräumten Befugnisse gehalten hat. Wird diesem vom Gesetzgeber ein sehr weiter Spielraum für die Regelung eingeräumt, so ist er für das Bundesgericht verbindlich. Es muss sich auf die Kontrolle beschränken, ob die Verordnung den Rahmen der Gesetzesdelegation offensichtlich sprengt oder aus anderen Gründen gesetzes- oder verfassungswidrig ist (vgl. BGE 133 V 42 E. 3.1 und 131 II 562 E. 3.2).</w:t>
      </w:r>
    </w:p>
    <w:p>
      <w:r>
        <w:rPr>
          <w:b/>
        </w:rPr>
        <w:t>E. 2.2.4</w:t>
      </w:r>
    </w:p>
    <w:p>
      <w:r>
        <w:t>Da die in Art. 75 Abs. 1 UVG normierte Delegation an den Bundesrat verfassungsmässig nicht ausgeschlossen ist, die Delegationsnorm von Art. 98 UVV und die Grundzüge des Wahlrechts in Art. 75 Abs. 1 UVG enthalten sind und sich die in dieser gesetzlichen Bestimmung normierte Delegation auf das Wahlrecht von Kantonen, Bezirken, Kreisen, Gemeinden und anderen öffentlich-rechtlichen Körperschaften für die Versicherung ihres Personals beschränkt, sind die Voraussetzungen zur Zulässigkeit der Gesetzesdelegation kumulativ erfüllt. Art. 98 UVV ist mit Art. 75 UVG vereinbar, denn - obwohl Art. 75 UVG dem Verordnungsgeber einen relativ weiten Ermessensspielraum für die Regelung des Wahlrechts einräumt - fällt die umstrittene Verordnungsvorschrift von Art. 98 UVV nicht aus dem Rahmen der dem Bundesrat in Art. 75 UVG delegierten Kompetenzen. Entgegen der Auffassung der Vorinstanz erweist sich Art. 98 UVV somit weder als gesetzwidrig noch als rechtsungleich oder willkürlich (vgl. zum Ganzen BGE 114 V 298 E. 4 mit Hinweisen). Bei diesem Ergebnis nicht weiter von Relevanz ist, ob der Suva als eine dem Bundesrat unterstellte Verwaltungseinheit eine vorfrageweise Überprüfung des Verordnungsrechts auf seine Übereinstimmung mit Gesetzesrecht zusteht resp. sie zur Rüge, Art. 98 UVV widerspreche Art. 75 UVG, befugt ist.</w:t>
      </w:r>
    </w:p>
    <w:p>
      <w:r>
        <w:rPr>
          <w:b/>
        </w:rPr>
        <w:t>E. 2.3</w:t>
      </w:r>
    </w:p>
    <w:p>
      <w:r>
        <w:t>Betreffend die Frage, ob der Beschwerdeführer seit dem 1. Januar 2012 organisatorische Selbstständigkeit besitzt, ergibt sich Folgendes:</w:t>
      </w:r>
    </w:p>
    <w:p>
      <w:r>
        <w:rPr>
          <w:b/>
        </w:rPr>
        <w:t>E. 2.3.1</w:t>
      </w:r>
    </w:p>
    <w:p>
      <w:r>
        <w:t>Betreffend die in Art. 75 Abs. 2 UVG erwähnte "Einheit" findet sich in Art. 98 Abs. 1 UVV eine Umschreibung. Demnach ist massgebend, ob Zweige der öffentlichen Verwaltungen und öffentlichen Betriebe - damit sie eine Einheit bilden - organisatorisch selbstständig sind. Eine technisch-organisatorisch verselbstständigte Verwaltungseinheit bildet gemäss Lehre Merkmal der öffentlich-rechtlichen Anstalt (vgl. Ulrich Häfelin/Georg Müller/Felix Uhlmann, a.a.O., Rz. 1316 S. 302). Selbstständige öffentlich-rechtliche Anstalten sind Anstalten, die mit eigener Rechtspersönlichkeit ausgestattet sind (vgl. Ulrich Häfelin/Georg Müller/Felix Uhlmann, a.a.O., Rz. 1320 S. 303). Autonomie liegt vor, wenn einer öffentlich-rechtlichen Anstalt ein verhältnismässig grosses Mass an administrativer Selbstständigkeit, d.h. Entscheidungsfreiheit, zukommt. Die Anstalt bzw. die Anstaltsleitung kann im gesetzlichen Rahmen selber darüber entscheiden, wie sie die ihr übertragenen Verwaltungsaufgaben erfüllen will. Ihr steht insbesondere das Recht zur Regelung organisatorischer Fragen sowie der Beziehungen zwischen Anstalt und Anstaltsbenützern zu. Hinsichtlich dieser Fragen kann sie auch rechtsetzend tätig werden und Anstaltsverordnungen (Rechts- und Verwaltungsverordnungen) erlassen (vgl. Ulrich Häfelin/Georg Müller/Felix Uhlmann, a.a.O., Rz. 1326 S. 304).</w:t>
      </w:r>
    </w:p>
    <w:p>
      <w:r>
        <w:rPr>
          <w:b/>
        </w:rPr>
        <w:t>E. 2.3.2</w:t>
      </w:r>
    </w:p>
    <w:p>
      <w:r>
        <w:t>Das A._______ ist seit 1. Januar 2012 ein Unternehmen des Kantons B._______ in der Form einer selbstständigen öffentlich-rechtlichen Anstalt mit eigener Rechtspersönlichkeit und Sitz in I._______ (vgl. § 1 und 2 des Gesetzes über die öffentlichen Spitäler des Kantons B._______ vom 16. Februar 2011 [ÖSpG]; systematische Sammlung Nr. 331.100; abrufbar unter www.gesetzes-sammlung.b._______.ch; zuletzt besucht am 25. Februar 2014). Gemäss § 5 Abs. 1 ÖSpG sind die Organe des öffentlichen Spitals der Verwaltungsrat (Bst. a), die Spitalleitung (Bst. b) und die Revisionsstelle (Bst. c). Laut § 11 Abs. 1 ÖSpG ist der Regierungsrat im Rahmen seiner Aufsichtsbefugnisse berechtigt, Auskünfte zu verlangen und in Unterlagen Einsicht zu nehmen. Er nimmt Kenntnis vom Bericht der Revisionsstelle, genehmigt auf Antrag des Verwaltungsrates die Jahresrechnung und entscheidet auf Antrag des Verwaltungsrates über die Verwendung des Bilanzgewinnes (§ 11 Abs. 2 ÖSpG). Dem A._______ wird zur Erfüllung seiner Aufgabe vom Kanton B._______ ein Dotationskapital gewährt und jenes verfügt über eine angemessene Eigenkapitalquote (§ 15 Abs. 1 und 2 ÖSpG) sowie über eigenes Vermögen (§ 17 ÖSpG). Mit Blick auf diese sowie weitere Gesetzesbestimmungen, insb. betreffend Aufgaben des Verwaltungsrats und der Spitalleitung (§ 7 und 9 ÖSpG), der Haftung (§ 20 ÖSpG) und der Verantwortlichkeit (§ 21 ÖSpG), ist die Voraussetzung der organisatorischen Selbstständigkeit gemäss Art. 98 Abs. 1 UVV ohne weiteres erfüllt.</w:t>
      </w:r>
    </w:p>
    <w:p>
      <w:r>
        <w:rPr>
          <w:b/>
        </w:rPr>
        <w:t>E. 2.4</w:t>
      </w:r>
    </w:p>
    <w:p>
      <w:r>
        <w:t>Es stellt sich weiter die Frage, ob aufgrund der Neuorganisation gestützt auf Art. 98 Abs. 2 UVV - wie vom Beschwerdeführer behauptet - eine selbstständige und autonome Wahl der Versicherungsträgerin gestattet ist.</w:t>
      </w:r>
    </w:p>
    <w:p>
      <w:r>
        <w:rPr>
          <w:b/>
        </w:rPr>
        <w:t>E. 2.4.1</w:t>
      </w:r>
    </w:p>
    <w:p>
      <w:r>
        <w:t>Entgegen der Auffassung der Suva erfasst Art. 98 Abs. 2 UVV nicht nur originär neue Verwaltungstätigkeit, sondern diese Verordnungsbestimmung zielt darauf ab, neu geschaffenen Verwaltungs- und Betriebseinheiten ein Wahlrecht betreffend Unfallversicherer zu gewähren. Wie vorstehend bereits dargelegt, wurde das A._______ per 1. Januar 2012 neu organisiert und als selbstständige öffentlich-rechtliche Anstalt ausgestaltet (vgl. E. 2.3.2 hiervor). Bei der Entlassung in die Selbstständigkeit handelte es sich aufgrund der neu gewonnenen Autonomie nicht bloss um einen Wechsel des Rechtskleids im Sinne einer Umwandlung. Daran ändert auch der Umstand nichts, dass die Spitäler bei der Suva als Versicherte mit eigener Kundennummer geführt wurden. Weiter führen bei diesem Ergebnis auch die Verweise der Suva auf die Bildung eines Prämienkonzerns und auf selbstständige Korrespondenz des Spitals mir ihr betreffend Unfallmeldungen ins Leere.</w:t>
      </w:r>
    </w:p>
    <w:p>
      <w:r>
        <w:rPr>
          <w:b/>
        </w:rPr>
        <w:t>E. 2.4.2</w:t>
      </w:r>
    </w:p>
    <w:p>
      <w:r>
        <w:t>Wie im Gutachten von PD Dr. iur. H._______ betreffend das D._______ - was auch für das A._______ gilt - in korrekter Weise ausgeführt worden war, erhielt der Beschwerdeführer autonome Gestaltungs- und Reaktionsmöglichkeiten, und die strategische Führung erfolgt durch den Verwaltungsrat. Das A._______ wurde mit der Neuorganisation in organisatorischer Hinsicht ohne Zweifel vom Kanton B._______ gelöst. Nicht zu beanstanden sind darüber hinaus auch die diesbezüglichen Ausführungen des Beschwerdeführers. Es trifft zu, dass die Spitäler vor dem 1. Januar 2012 nicht über derart viel Autonomie verfügten wie ab diesem Zeitpunkt durch die Neuorganisation. Das A._______ kann nun innerhalb seines Leistungsauftrages strategische Zielsetzungen verfolgen, und die Ausgliederung per 1. Januar 2012 ging über die rein rechtliche Verselbstständigung eines Verwaltungszweigs hinaus. Wenn - wie vorliegend - ein Spital wie das A._______ in die Autonomie entlassen wird, muss dieser Autonomie resp. Neuorganisation dergestalt Rechnung getragen werden können, dass der neu geschaffenen Verwaltungseinheit das Recht einzuräumen ist, auch die obligatorische Unfallversicherung inskünftig neu selber zu regeln. Dies ergibt sich ohne weiteres aufgrund der massgeblichen Verordnungsbestimmung. Bereits der gesetzliche Wortlaut von Art. 98 Abs. 2 UVV - welcher Ausgangspunkt jeder Auslegung bildet (vgl. SVR 2005 ALV Nr. 6 S. 20 E. 3.3) - legt den Schluss nahe, dass das A._______ den Unfallversicherer zufolge der Neuorganisation neu hatte wählen können. Von diesem klaren Wortlaut dürfte nur dann ausnahmsweise abgewichen werden, wenn triftige Gründe dafür vorlägen, dass der Wortlaut nicht den wahren Sinn der Bestimmung wiedergeben würde (vgl. BGE 137 V 13 E. 5.1). Solche Gründe sind vorliegend nicht ersichtlich. Da sich das Bundesgericht bei der Auslegung von Erlassen jedoch stets von einem Methodenpluralismus hat leiten lassen (vgl. BGE 137 V 20 E. 5.1), ist zur Ergänzung und Verdeutlichung des Wortlauts von Art. 98 Abs. 1 und 2 UVV auf die bundesrätliche Antwort vom 6. Juni 2011 auf die Interpellation J._______ (...) zu verweisen. Der Bundesrat hielt unter anderem fest, dass diejenigen Verwaltungen, die ihr Wahlrecht gemäss Art. 75 UVG bei Inkrafttreten des UVG ausgeübt hätten, nicht ein zweites Mal zwischen der Suva und einem Privatversicherer wählen könnten. Durch Gemeindefusionen könnten jedoch neue Einheiten entstehen, die noch nie eine Wahl getroffen hätten. Bei neuen Einheiten, die ihre einmalige Wahl noch nicht getroffen hätten, könne somit auch die Suva eine Offerte für die obligatorische Unfallversicherung derjenigen Arbeitnehmer einreichen, welche nicht bereits obligatorisch bei der Suva versichert seien (abrufbar unter http://www.parlament.ch/d/suche/seiten/geschaefte.aspx?gesch_id=20113159; zuletzt besucht am 25. Februar 2014). Auf die Interpellation G._______ hin (...) orientierte der Bundesrat am 22. Februar 2012 dahingehend, dass eine öffentliche Verwaltung dann als neue Einheit gelte, wenn sie als organisatorisch selbstständige Einheit mit eigener Rechnung neu geschaffen worden sei. Organisatorisch selbstständig sei eine Verwaltungseinheit nach den Materialien zur Verordnung namentlich dann, wenn sie eine eigene Rechnung führe. Nicht erforderlich sei, dass die neue Verwaltungseinheit eine Tätigkeit aufnehme, die vorher nicht wahrgenommen worden sei (abrufbar unter http://www.parlament.ch/d/suche/seiten/geschaefte.aspx?gesch_id=.......; zuletzt besucht am 25. Februar 2014). Darüber hinaus wird diese Auffassung auch vom BAG geteilt (BB 14).</w:t>
      </w:r>
    </w:p>
    <w:p>
      <w:r>
        <w:rPr>
          <w:b/>
        </w:rPr>
        <w:t>E. 2.4.3</w:t>
      </w:r>
    </w:p>
    <w:p>
      <w:r>
        <w:t>Im Zusammenhang mit der Frage nach dem Wahlrecht ist schliesslich auch auf BGE 139 V 58 (Urteil des BGer 9C_883/2012 vom 12. Februar 2013) zur verweisen. In diesem höchstrichterlichen Entscheid wurde unter anderem erwogen, dass ein Wechsel eines in die Selbstständigkeit entlassenen kantonalen Spitals von der kantonalen Ausgleichskasse zur Ausgleichskasse eines regionalen zwischenberuflichen Verbandes zulässig sei. Obwohl es in diesem Urteil um einen Wechsel der Ausgleichskasse ging, der nach anderen gesetzlichen Grundlagen zu beurteilen war, steht diese Rechtsprechung im Einklang mit den Erwägungen im vorliegenden Fall.</w:t>
      </w:r>
    </w:p>
    <w:p>
      <w:r>
        <w:rPr>
          <w:b/>
        </w:rPr>
        <w:t>E. 2.5</w:t>
      </w:r>
    </w:p>
    <w:p>
      <w:r>
        <w:t>Nach dem vorstehend Dargelegten ist zusammenfassend festzuhalten, dass es sich beim A._______ um eine Einheit im Sinne von Art. 98 Abs. 1 UVV handelt, weil die in dieser Verordnungsbestimmung normierte obligatorische Selbstständigkeit gegeben ist. Durch die per 1. Januar 2012 vorgesehene, grundlegende Umgestaltung wurde ein neuer Betrieb geschaffen, was zur Folge hat, dass auch Art. 98 Abs. 2 Satz 1 UVV erfüllt ist und dem A._______ betreffend Vergabe des Unfallversicherungsschutzes ein Wahlrecht zustand.</w:t>
      </w:r>
    </w:p>
    <w:p>
      <w:r>
        <w:rPr>
          <w:b/>
        </w:rPr>
        <w:t>E. 3</w:t>
      </w:r>
    </w:p>
    <w:p>
      <w:r>
        <w:t>In einem nächsten Schritt ist die Frage zu klären, ob das dem Beschwerdeführer zustehende Wahlrecht rechtskonform ausgeübt wurde.</w:t>
      </w:r>
    </w:p>
    <w:p>
      <w:r>
        <w:rPr>
          <w:b/>
        </w:rPr>
        <w:t>E. 3.1</w:t>
      </w:r>
    </w:p>
    <w:p>
      <w:r>
        <w:t>Gemäss Art. 98 Abs. 2 Satz 2 UVV ist den Vertretern der Arbeitnehmer ein Mitbestimmungsrecht einzuräumen. Der Beschwerdeführer führte in seiner Beschwerde vom 13. September 2012 aus, dass ein Einbezug der Mitarbeitenden mit Blick auf die Notwendigkeit einer Ausschreibung und die kurze Frist per Ende 2011 kaum habe stattfinden können. Eine entsprechende Verletzung würde nicht zur Ungültigkeit der Wahl des Versicherers führen. Die Vorinstanz dagegen vertrat in ihrer Vernehmlassung vom 7. Dezember 2012 die Auffassung, unbestrittenermassen sei das Mitbestimmungsrecht nicht gewährt worden, weshalb das A._______ selbst bei (falscher) Annahme, dass ihm das Wahlrecht zustehe, über den 31. Dezember 2011 hinaus bei der Suva versichert wäre, weil das Wahlrecht nicht rechtskonform ausgeübt worden wäre.</w:t>
      </w:r>
    </w:p>
    <w:p>
      <w:r>
        <w:rPr>
          <w:b/>
        </w:rPr>
        <w:t>E. 3.2</w:t>
      </w:r>
    </w:p>
    <w:p>
      <w:r>
        <w:t>Art. 98 Abs. 3 UVV besagt, dass für den Fall, dass eine öffentliche Verwaltung das Wahlrecht nicht rechtzeitig ausübt, ihre Arbeitnehmer bei der Suva versichert sind. Da in dieser Verordnungsbestimmung nur die verspätete Ausübung des Wahlrechts, nicht aber die Verletzung des Mitbestimmungsrechts sanktioniert wird, kann entgegen der Meinung der Suva nicht davon ausgegangen werden, dass - bei rechtzeitiger Ausübung des Wahlrechts - durch die Verletzung des Mitbestimmungsrechts die Arbeitnehmer weiterhin bei der Suva versichert wären. Vielmehr ist davon auszugehen, dass es sich bei Art. 98 Abs. 2 Satz 2 UVV um eine Ordnungsvorschrift handelt und der Verordnungsgeber bewusst und gewollt durch qualifiziertes Schweigen auf eine Sanktion bei Verletzung dieser Vorschrift verzichtet hat. Es liegt mit anderen Worten diesbezüglich keine Lücke vor, und eine richterliche Lückenfüllung käme unter den gegebenen Umständen nicht in Frage (vgl. hierzu BGE 134 V 182 E. 4.1, 132 III 470 E. 5.1, 130 V 229 E. 2.3 und 125 V 8 E. 3). Insofern kann den Ausführungen der Suva, welche die Verletzung des Mitbestimmungsrechts gemäss Art. 98 Abs. 2 Satz 2 UVV unter die Rechtsfolgen von Art. 98 Abs. 3 UVV subsumiert haben will, nicht gefolgt werden. Dies gilt im Übrigen auch für den Einwand, das Wahlrecht sei nicht rechtzeitig (d.h. spätestens einen Monat vor Aufnahme der Tätigkeit) mittels Zustellung eines Versicherungsantrags an den gewählten Versicherer ausgeübt worden. Denn der entsprechende Antrag wurde von der Direktion des A._______ am 28. November 2011 und von Vertretern der Finanzverwaltung B._______ am 29. November 2011 unterzeichnet (B-act. 13 Beilage 1).</w:t>
      </w:r>
    </w:p>
    <w:p>
      <w:r>
        <w:rPr>
          <w:b/>
        </w:rPr>
        <w:t>E. 4</w:t>
      </w:r>
    </w:p>
    <w:p>
      <w:r>
        <w:t>Aufgrund der vorstehenden Erwägungen ist zusammenfassend festzuhalten, dass der Beschwerdeführer durch die per 1. Januar 2012 erfolgte Umwandlung des A._______ von einer Dienststelle des Kantons B._______ in eine öffentlich-rechtliche Anstalt mit eigener Rechtspersönlichkeit berechtigt war, neu die E._______ mit der Durchführung der Unfallversicherung zu betrauen. Demnach ist die Beschwerde vom 13. September 2012, soweit darauf einzutreten ist, gutzuheissen. Der angefochtene Einspracheentscheid der Suva vom 27. Juli 2012, welcher die Verfügung vom 24. November 2011 ersetzt hat, ist aufzuheben.</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Der unterliegenden Vorinstanz sind allerdings keine Verfahrenskosten aufzuerlegen (Art. 63 Abs. 2 VwVG). Dem obsiegenden Beschwerdeführer sind ebenfalls keine Kosten aufzuerlegen. Diesem ist der geleistete Verfahrenskostenvorschuss von Fr. 2'000.- nach Eintritt der Rechtskraft des vorliegenden Urteils auf ein von ihm bekannt zu gebendes Konto zurückzuerstatten.</w:t>
      </w:r>
    </w:p>
    <w:p>
      <w:r>
        <w:rPr>
          <w:b/>
        </w:rPr>
        <w:t>E. 5.2</w:t>
      </w:r>
    </w:p>
    <w:p>
      <w:r>
        <w:t>Der Beschwerdeführer hat gemäss Art. 64 Abs. 1 VwVG in Ver­bindung mit Art. 7 des Reglements vom 21. Februar 2008 über die Kosten und Entschädigungen vor dem Bundesverwaltungsgericht (VGKE, SR 173.320.2) zu Lasten der Vorinstanz Anspruch auf eine Parteientschädigung. Da keine Kostennote eingereicht worden ist, ist diese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3'000.- (inkl. Auslagen und Mehrwertsteuer; vgl.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