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C-4825/2020 vom 22. Dezember 2020</w:t>
      </w:r>
    </w:p>
    <w:p>
      <w:r>
        <w:t>Bundesverwaltungsgericht, 2020-12-22, DE</w:t>
      </w:r>
    </w:p>
    <w:p>
      <w:r>
        <w:rPr>
          <w:b/>
        </w:rPr>
        <w:t xml:space="preserve">Quelle: </w:t>
      </w:r>
      <w:r>
        <w:t>https://mcp.opencaselaw.ch/entscheid/bvger_C-4825_2020</w:t>
      </w:r>
    </w:p>
    <w:p>
      <w:r>
        <w:t>FR: TAF C-4825/2020 du 22 décembre 2020</w:t>
      </w:r>
    </w:p>
    <w:p>
      <w:r>
        <w:t>IT: TAF C-4825/2020 del 22 dicembre 2020</w:t>
      </w:r>
    </w:p>
    <w:p>
      <w:pPr>
        <w:pStyle w:val="Heading2"/>
      </w:pPr>
      <w:r>
        <w:t>Regeste</w:t>
      </w:r>
    </w:p>
    <w:p>
      <w:r>
        <w:t>Zwangsanschluss an die Auffangeinrichtung</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in der Höhe von Fr. 800.- wird der Beschwerdeführerin nach Eintritt der Rechtskraft des vorliegenden Urteils zurückerstattet.</w:t>
      </w:r>
    </w:p>
    <w:p>
      <w:r>
        <w:rPr>
          <w:b/>
        </w:rPr>
        <w:t>E. 3</w:t>
      </w:r>
    </w:p>
    <w:p>
      <w:r>
        <w:t>Es wird keine Parteientschädigung zugesprochen.</w:t>
      </w:r>
    </w:p>
    <w:p>
      <w:r>
        <w:rPr>
          <w:b/>
        </w:rPr>
        <w:t>E. 4</w:t>
      </w:r>
    </w:p>
    <w:p>
      <w:r>
        <w:t>Dieser Entscheid geht an: - die Beschwerdeführerin (Gerichtsurkunde; Beilage: Formular Zahladresse) - die Vorinstanz (Ref-Nr._______; Gerichtsurkunde; Beilage im Doppel: Schreiben der Beschwerdeführerin vom 7. Dezember 2020) - das Bundesamt für Sozialversicherungen (Einschreiben) - die Oberaufsichtskommission BVG (Einschreiben) Für die Rechtsmittelbelehrung wird auf die nächste Seite verwiesen. Der Einzelrichter: Die Gerichtsschreiberin: Beat Weber Tatjana Bont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