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C-4824/2010 vom 31. Mai 2012</w:t>
      </w:r>
    </w:p>
    <w:p>
      <w:r>
        <w:t>Bundesverwaltungsgericht, 2012-05-31, IT</w:t>
      </w:r>
    </w:p>
    <w:p>
      <w:r>
        <w:rPr>
          <w:b/>
        </w:rPr>
        <w:t xml:space="preserve">Quelle: </w:t>
      </w:r>
      <w:r>
        <w:t>https://mcp.opencaselaw.ch/entscheid/bvger_C-4824_2010</w:t>
      </w:r>
    </w:p>
    <w:p>
      <w:r>
        <w:t>FR: TAF C-4824/2010 du 31 mai 2012</w:t>
      </w:r>
    </w:p>
    <w:p>
      <w:r>
        <w:t>IT: TAF C-4824/2010 del 31 maggio 2012</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19 ottobre 2007 e il medico SMR avendo ritenuto che il danno alla salute è intervenuto a far tempo dall'11 agosto 2006 (cfr. doc. A 27-1), al caso in esame si applicano di principio le norme in vigore fino al 31 dicembre 2007. Peraltro, e per l'esame del diritto eventuale a una rendita, l'applicazione delle nuove norme della 5a revisione della LAI per il periodo dal 1° gennaio 2008 al 16 marzo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C-7827/2010 del 21 settembre 2010 consid. 3.2). Al caso di specie, non sono altresì applicabili le disposizioni della 6a revisione della LAI (primo pacchetto) che sono entrate in vigore il 1° gennaio 2012 (FF 2010 1603). Pertanto, e salvo indicazione contraria, di seguito è fatto riferimento alle norme in vigore fino al 31 dicembre 2007.</w:t>
      </w:r>
    </w:p>
    <w:p>
      <w:r>
        <w:rPr>
          <w:b/>
        </w:rPr>
        <w:t>E. 3.3</w:t>
      </w:r>
    </w:p>
    <w:p>
      <w:r>
        <w:t>La ricorrente, come già menzionato, ha presentato la richiesta di rendita il 19 ottobre 2007.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19 ottobre 2006 (ossia 12 mesi precedenti la presentazione della domanda), oppure se un diritto alla rendita sia sorto tra tale data e il 16 marzo 2010,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rispettivamente, a partire dal 1° gennaio 2008, durante tre anni). La ricorrente ha versato contributi all'AVS/AI svizzera per più di 9 anni (v. doc. A 55-1)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la ricorrente soffre segnatamente di lupus eritematoso sistemico con interessamento neurovascolare con grave neuropatia del nervo ischiatico sinistro, lesioni ischemiche cerebrali e del midollo cervicale C6-C7, lieve difficoltà della motilità fine della mano destra e lieve polineuropatia assonale, sindrome lomboradicolare cronica L3-L5 a sinistra in discopatia L3-L4 e L4-L5, disturbi statici del rachide e decondizionamento muscolare, periartropatia omeroscapolare, sindrome del tunnel carpale bilateralmente, personalità rigida ed ipertensione arteriosa (cfr. perizia pluridisciplinare del 29 agosto 2008 del SAM [doc. A 24-1]).</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10.1</w:t>
      </w:r>
    </w:p>
    <w:p>
      <w:r>
        <w:t>Nel caso di specie, l'oggetto litigioso è la questione di sapere se la ricorrente abbia diritto ad una rendita intera dell'assicurazione svizzera per l'invalidità, come da lei postulato.</w:t>
      </w:r>
    </w:p>
    <w:p>
      <w:r>
        <w:rPr>
          <w:b/>
        </w:rPr>
        <w:t>E. 10.2</w:t>
      </w:r>
    </w:p>
    <w:p>
      <w:r>
        <w:t>Nella perizia pluridisciplinare del 29 agosto 2008 del SAM (doc. A 24-1) - fondata sul consulto reumatologico del dott. H._______ (doc. A 24-19), sul consulto psichiatrico del dott. I._______ (doc. A 24-26) e sul consulto neurologico del dott. J._______ (doc. A 24-30) - le dott.sse K._______ e L._______, medici SAM, hanno rilevato che il lupus eritematoso ha avuto delle ripercussioni sul sistema nervoso centrale, ma che non vi sono indizi per un coinvolgimento muscolo-scheletrico. A causa della lesione al nervo ischiatico sinistro, vi sono importanti difficoltà della deambulazione, caratterizzate da un minor appoggio all'arto inferiore sinistro con accenno allo "steppage". Per quanto riguarda la sintomatologia algica lombare irradiata all'arto inferiore sinistro, vi è una componente miofasciale ed un'instabilità segmentaria L3-L4 e L4-L5 con dolore all'arto inferiore sinistro, che sembra più una sequela della lesione del nervo ischiatico che radicolare, vista l'assenza di compressioni radicolari evidenti alla risonanza magnetica lombare. Detti medici hanno altresì constatato che l'esame di risonanza magnetica mostra un'ernia discale D12-L1, una protrusione discale L3-L4 con compressione sul sacco durale e sulle radici ed una protrusione L4-L5 con impronta sull'emergenza radicolare e sul sacco durale. Inoltre, i medici SAM hanno segnalato che l'assicurata ha un atteggiamento collaborante, presenta un contatto affettivo scialbo, un tono dell'umore non deflesso, un incremento della tensione endopsichica e non mostra alterazioni psicopatologiche e neppure deflessioni della timia. Si tratta di una persona orgogliosa che non ha voluto arrendersi di fronte allo sviluppo delle malattie e che ha cercato di aggrapparsi all'attività lavorativa per rifiutare il ruolo della vittima e per contrastare gli stati d'animo negativi passeggeri. In conclusione, i medici SAM hanno osservato che, dal punto di vista psichiatrico, lo stato psichico è rimasto stabile dalla fine del 2005 e non vi è quindi alcuna diminuzione della capacità lavorativa. Dal punto di vista neurologico e reumatologico, hanno ritenuto che l'interessata presenta una capacità al lavoro dello 0% dall'11 agosto 2006, del 50% dall'11 settembre 2006, dello 0% dal 13 ottobre 2006 e del 30% dal 9 luglio 2007 nella precedente attività di cuoca ed una capacità al lavoro dello 0% dall'11 agosto 2006, del 60% dall'11 settembre 2006, dello 0% dal 13 ottobre 2006 e del 60% dal 9 luglio 2007 in un'attività sostitutiva confacente allo stato di salute. Per i motivi che saranno indicati di seguito, la valutazione sulla residua capacità lavorativa in un'attività sostitutiva adeguata, che peraltro non è stata motivata, non può essere condivisa.</w:t>
      </w:r>
    </w:p>
    <w:p>
      <w:r>
        <w:rPr>
          <w:b/>
        </w:rPr>
        <w:t>E. 10.3</w:t>
      </w:r>
    </w:p>
    <w:p>
      <w:r>
        <w:t>In merito a tale valutazione, per quanto attiene al periodo intercorrente tra agosto del 2006 (data dell'interruzione al lavoro per motivi di salute) ed agosto del 2008 (data della perizia SAM), occorre precisare che, nella perizia del 12 luglio 2007 (basata su una visita peritale del 21 maggio 2007 [doc. A 24-47]), il dott. C._______, specialista in neurochirurgia (medico incaricato dall'assicurazione M._______), ha segnalato che la paziente presentava un quadro clinico complesso, nel quale alla riattivazione di una malattia autoimmune, con impatto vascolare, si era associata una sindrome vertebrale con coinvolgimento (pseudo)radicolare dell'arto inferiore sinistro. Ha ritenuto che l'assicurata doveva essere considerata inabile in misura completa in una qualsiasi attività lavorativa e che non potevano essere formulate conclusioni sull'eventuale ripristino di una capacità lavorativa anche parziale. Ora, non è dato sapere, in assenza di adeguata motivazione, per quale motivo i medici SAM abbiano reputato di poter ravvisare, dal 9 luglio 2007, un miglioramento significativo dello stato di salute dell'insorgente rispetto alla situazione esistente al 21 maggio 2007 (giorno dell'effettuazione della perizia del dott. C._______), nel senso di una capacità lavorativa del 60% in un'attività sostitutiva adeguata. Va rilevato che il neurologo dott. J._______, nel rapporto del 17 luglio 2008 (doc. A 24-30), ha ritenuto per la ricorrente una capacità al lavoro del 60% in un'attività confacente allo stato di salute, senza aver però indicato in modo chiaro il momento a partire dal quale la medesima fosse in grado di svolgere un'attività sostitutiva nella misura del 60%. La valutazione dello specialista appare altresì fondata sull'esame del quadro clinico al 10 luglio 2008 (giorno dell'effettuazione della perizia neurologica). Il perito ha certo indicato che il quadro neurologico pare stabile negli ultimi due anni. Tale imprecisa e generica constatazione non appare corrispondere a quanto ritenuto nelle conclusioni della perizia pluridisciplinare dalle dott.sse K._______ e L._______, medici SAM, da cui risulta che lo stato di salute della ricorrente ha subito, nel periodo intercorrente dall'11 agosto 2006 al 9 luglio 2007, diversi cambiamenti (cfr. resoconto perizia pluridisciplinare del 29 agosto 2008 pag. 17 punto 9). Essa costituisce tutt'al più una mera ipotesi che non è fondata su elementi oggettivi sufficientemente consistenti, basata su un'anamnesi perlomeno incompleta, per poter ammettere che a partire dal 9 luglio 2007 l'insorgente fosse nuovamente in grado di lavorare al 60% in un'attività confacente allo stato di salute. Peraltro, in tale data la ricorrente ha ripreso a svolgere lavori leggeri in cucina (preparare insalate, decorare e preparare piatti, affettare; v. doc. A 21-14) presso il proprio datore di lavoro nella misura del 30%. Occorre altresì rilevare che dalla documentazione medica agli atti emerge che l'insorgente soffre segnatamente di una malattia cronica e che la stessa ha presentato fasi di peggioramenti nel corso degli anni. In particolare, è stata ricoverata dal 13 ottobre all'8 novembre 2006, allorché ha manifestato un episodio ischemico con disartria ed emiplagia destra (v. doc. A 19-6), dal 24 gennaio al 3 febbraio 2007, momento in cui è stata evidenziata una neuropatia periferica (v. doc. A 8-6) e dal 29 aprile al 22 maggio 2008, allorquando ha mostrato una disabilità motoria con disturbi della deambulazione ed è stata diagnosticata una polineuropatia sensitivo-motoria agli arti inferiori (v. doc. A 24-36). Il dott. J._______ stesso ha sottolineato, nel rapporto del 17 luglio 2008 (doc. A 24-30) che l'assicurata è a rischio per nuove ricadute di vascoliti auto-immuni che potrebbero portare altri danni sia del sistema nervoso centrale che periferico. Inoltre, il reumatologo non si è nella sostanza espresso sulla capacità lavorativa della ricorrente relativa al periodo precedente alla data della sua visita peritale (del 9 giugno 2008), indicando semplicemente una capacità lavorativa a partire dal 23 maggio 2008 (dopo che l'interessata era stata dimessa da un ricovero ospedaliero). Quale sia effettivamente stata la capacità lavorativa della ricorrente in un'attività sostitutiva adeguata nel periodo tra agosto 2006 e giugno-luglio 2008 (periodo delle visite specialistiche alla base della perizia pluridisciplinare del 29 agosto 2008) non può pertanto essere determinato nel senso della probabilità preponderante sulla base di accertamenti fattuali insufficienti e motivazioni carenti sia nella perizia pluridisciplinare stessa (e relativi rapporti specialistici) che nella decisione impugnata. Infine, non è stato spiegato dai periti - a prescindere dal fatto che lo statuto della ricorrente è quello di una persona che in caso di buona salute si dedicherebbe all'esercizio di un'attività lavorativa al 100% - per quale ragione hanno indicato che la ricorrente dovrebbe essere in grado, nonostante i suoi problemi reumatologici e soprattutto neurologici, di svolgere un'attività sostitutiva adeguata nella misura del 60%, ma le consuete mansioni domestiche di una di casalinga solo nella misura del 50%. Neppure nella decisione impugnata è ravvisabile una spiegazione al riguardo, tantomeno convincente, senza che sia senz'altro possibile concludere, sulla base degli atti di causa al loro stato attuale, che la capacità lavorativa residua della ricorrente in un'attività sostitutiva adeguata debba e possa essere superiore del 10% rispetto a quella di casalinga.</w:t>
      </w:r>
    </w:p>
    <w:p>
      <w:r>
        <w:rPr>
          <w:b/>
        </w:rPr>
        <w:t>E. 10.4</w:t>
      </w:r>
    </w:p>
    <w:p>
      <w:r>
        <w:t>Ma vi è di più. Per quanto attiene al periodo posteriore alla perizia del 29 agosto 2008 del SAM, si osserva che dalla stessa all'emanazione della decisione finale sono trascorsi 1 anno e 7 mesi circa, senza che l'autorità inferiore, conto tenuto delle particolarità del caso concreto, abbia ritenuto di dovere provvedere ad un completamento dell'istruttoria nel senso di un aggiornamento delle risultanze peritali. Tale lacuna istruttoria è tanto più grave ove si pensi che lo stato di salute della ricorrente già in passato ha subito variazioni di una certa importanza anche in periodi più brevi. In particolare, e dal profilo neurologico, non appare quindi possibile oggettivare, in assenza di un nuovo rapporto che si esprima sull'evoluzione nel tempo dello stato di salute dell'insorgente, una capacità al lavoro del 60% in un'attività sostitutiva confacente allo stato di salute fino al 16 marzo 2010 (data della decisione impugnata), ritenuto altresì che nel certificato medico del 19 novembre 2009 del dott. F._______ (doc. A 49-3) è indicato che la paziente presenta un'accentuazione della sintomatologia neurologica ed artropatica nonché una sindrome vertiginosa con instabilità e facilità alle cadute.</w:t>
      </w:r>
    </w:p>
    <w:p>
      <w:r>
        <w:rPr>
          <w:b/>
        </w:rPr>
        <w:t>E. 10.5</w:t>
      </w:r>
    </w:p>
    <w:p>
      <w:r>
        <w:t>Infine, e a titolo abbondanziale, occorre osservare che i documenti medici di settembre e dicembre 2011 esibiti dalla ricorrente in procedura di ricorso (doc. TAF 10 e 12) - certo redatti dopo la data della decisione impugnata, ma che si riferiscono anche allo stato di salute esistente anteriormente alla data di detta decisione - evidenziano degli episodi confusionali di breve durata, fanno stato di una nuova patologia, quale un'epilessia, e postulano che la ricorrente si sottoponga ad una visita neuropsicologica e reumatologica. In particolare, per quanto attiene alle crisi epilettiche, di cui la ricorrente ha segnalato di soffrire (v. presa di posizione del 24 febbraio 2012; doc. TAF 18), andrà eventualmente esaminata la questione di sapere se il dott. C._______, nella perizia del 12 luglio 2007 (v. doc. A 24-53 pto. VI) ha elencato (in percentuale) le manifestazioni cliniche, fra cui delle crisi epilettiche, che può presentare un paziente affetto da lupus eritematoso sistemico, oppure se lo stesso ha riscontrato che la ricorrente soffriva di crisi epilettiche, ritenuto altresì che secondo il rapporto del 18 maggio 2007 (doc. A 8-8) la medesima assumeva un farmaco per il trattamento delle epilessie ("N._______").</w:t>
      </w:r>
    </w:p>
    <w:p>
      <w:r>
        <w:rPr>
          <w:b/>
        </w:rPr>
        <w:t>E. 11</w:t>
      </w:r>
    </w:p>
    <w:p>
      <w:r>
        <w:t>Da quanto esposto, discende che la decisione impugnata - che viola il diritto federale (accertamento inesatto ed incompleto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C-7965/2010 del 27 marzo 2012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e alla sua capacità lavorativa nel tempo ai sensi dei considerandi, segnatamente con un completamento degli esami neurologico e reumatologico (per quanto attiene alla capacità lavorativa fino alla data della perizia pluridisciplinare del 29 agosto 2008), un aggiornamento della perizia neurologica (cfr., sulla possibilità di un rinvio all'autorità inferiore in siffatte circostanze, DTF 137 V 210 4.4.1.4), e con ogni ulteriore esame che l'evoluzione nel tempo dello stato di salute dell'insorgente dovesse rendere necessario, nonché a pronunciare una nuova decisione.</w:t>
      </w:r>
    </w:p>
    <w:p>
      <w:r>
        <w:rPr>
          <w:b/>
        </w:rPr>
        <w:t>E. 12.2</w:t>
      </w:r>
    </w:p>
    <w:p>
      <w:r>
        <w:t>Occorre peraltro rilevare che nell'ambito dell'accertamento ancora da esperire dall'autorità inferiore, a seguito del rinvio degli atti di causa, non sussiste l'eventualità di una nuova decisione dell'UAIE a detrimento della ricorrente (cfr., sulla questione, DTF 137 V 314 consid. 2.3.4). In altri termini, nell'ambito della nuova procedura dinanzi all'UAIE a seguito della presente cassazione della decisione del 16 marzo 2010, il quarto di rendita attribuito all'insorgente da detto Ufficio a partire dal 1° agosto 2007 deve considerarsi come definitivamente accertato ed acquisito perlomeno fino alla data della decisione impugnata del 16 marzo 2010 (limite di cognizione temporale nel caso di specie; cfr. sulla problematica anche le sentenze del Tribunale amministrativo federale C-3138/2010 del 9 gennaio 2012 consid. 8.2 e C-4961/2011 del 21 novembre 2011 consid. 7.2). In tale contesto, resta aperta solo la questione di sapere se la portata e l'(eventuale) peggioramento dell'affezione neurologica possano avere un'incidenza significativa sulla capacità lavorativa della ricorrente in un'attività sostitutiva confacente allo stato di salute. In effetti, e come precedentemente accennato, una soppressione totale della rendita non è ipotizzabile, dal momento che la sola affezione neurologica, già accertata in prima istanza, comporta sicuramente, ad essa sola, la concessione di perlomeno un quarto di rendita, fino al 16 marzo 2010.</w:t>
      </w:r>
    </w:p>
    <w:p>
      <w:r>
        <w:rPr>
          <w:b/>
        </w:rPr>
        <w:t>E. 13.1</w:t>
      </w:r>
    </w:p>
    <w:p>
      <w:r>
        <w:t>Visto l'esito della causa, non sono prelevate delle spese processuali (art. 63 PA). L'anticipo equivalente alle presunte spese processuali di fr. 300.--, versato il 2 agosto 2010, è restituito alla ricorrente.</w:t>
      </w:r>
    </w:p>
    <w:p>
      <w:r>
        <w:rPr>
          <w:b/>
        </w:rPr>
        <w:t>E. 13.2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1'500.--,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