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C-4806/2014 vom 11. Mai 2016</w:t>
      </w:r>
    </w:p>
    <w:p>
      <w:r>
        <w:t>Bundesverwaltungsgericht, 2016-05-11, DE</w:t>
      </w:r>
    </w:p>
    <w:p>
      <w:r>
        <w:rPr>
          <w:b/>
        </w:rPr>
        <w:t xml:space="preserve">Quelle: </w:t>
      </w:r>
      <w:r>
        <w:t>https://mcp.opencaselaw.ch/entscheid/bvger_C-4806_2014</w:t>
      </w:r>
    </w:p>
    <w:p>
      <w:r>
        <w:t>FR: TAF C-4806/2014 du 11 mai 2016</w:t>
      </w:r>
    </w:p>
    <w:p>
      <w:r>
        <w:t>IT: TAF C-4806/2014 del 11 maggio 2016</w:t>
      </w:r>
    </w:p>
    <w:p>
      <w:pPr>
        <w:pStyle w:val="Heading2"/>
      </w:pPr>
      <w:r>
        <w:t>Regeste</w:t>
      </w:r>
    </w:p>
    <w:p>
      <w:r>
        <w:t>Beiträge</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des angefochtenen Einspracheentscheids durch diesen besonders berührt und hat ein schutzwürdiges Interesse an dessen Aufhebung oder Abänderung, weshalb sie zur Erhebung der Beschwerde legitimiert ist (Art. 59 ATSG [SR 830.1]). Auf die frist- und formgerecht eingereichte Beschwerde vom 22. August 2014 (Poststempel: 23. August 2014) ist daher einzutreten (Art. 60 ATSG; Art. 60 Abs. 2 i.V.m. Art. 38 Abs. 4 Bst. b ATSG). 2.1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 2.2 Nach der Rechtsprechung stellt das Sozialversicherungsgericht bei der Beurteilung einer Streitsache in der Regel auf den bis zum Zeitpunkt des Erlasses der streitigen Verwaltungsverfügung (hier: 28. Juli 2014) eingetretenen Sachverhalt ab (BGE 131 V 242 E. 2.1, BGE 130 V 329, 129 V 1 E. 1.2, je mit Hinweisen). 3.1 Nach Ablauf der Beschwerdefrist können Begehren einer Beschwerde nicht mehr erweitert, sondern höchstens präzisiert, eingeengt oder fallengelassen werden (André Moser/Michael Beusch/Lorenz Kneubühler, Prozessieren vor dem Bundesverwaltungsgericht, 2. Aufl. 2013, S. 123 Rz. 2.218; Frank Seetaler/Fabia Bochsler, in: Praxiskommentar VwVG, 2009, Art. 52 N. 41). 3.2 Die Beschwerdeführerin hat in ihrer Replik vom 14. April 2015 ihr sinngemäss auf Ausrichtung von AHV-Hinterlassenenleistungen zielendes Rechtsbegehren (BVGer act. 1) dahingehend modifiziert, dass sie einerseits im Hauptantrag eine Wiedererwägung durch die Vorinstanz und den Erlass einer neuen Verfügung über eine Abfindung nach Art. 7 Bst. a des Abkommens respektive über eine rückwirkend per 1. Juli 2013 auszurichtende Witwenrente fordert (Ziff. 1); anderseits beantragt sie eventualiter, es sei die angefochtene Verfügung aufzuheben und die Vorinstanz zu verpflichten, ihr eine Abfindung gemäss Art. 7 lit. a des Sozialversicherungsabkommens beziehungsweise rückwirkend ab 1. Juli 2013 eine Witwenrente auszurichten (Ziff. 2). In Ziff. 3 hat sie sodann ihren Antrag auf unentgeltliche Verbeiständung erneuert (BVGer act. 24, S. 2). Soweit die Beschwerdeführerin mit ihrem Antrag auf Wiedererwägung auf eine gerichtliche Anordnung abzielt, ist ihr zum einen entgegen zu halten, dass der Entscheid über die Vornahme einer Wiedererwägung im Sinne von Art. 53 Abs. 2 ATSG im Ermessen des Versicherungsträgers liegt und nicht durch das Bundesverwaltungsgericht angeordnet werden kann (vgl. dazu Ueli Kieser, ATSG-Kommentar, 3. Aufl. 2015, Art. 53 NN. 61 f. mit Hinweisen; vgl. auch August Mächler, in: Kommentar zum Bundesgesetz über das Verwaltungsverfahren, Christoph Auer/Markus Müller/Benjamin Schindler [Hrsg.], 2008, Art. 58 VwVG N. 9; vgl. zu den Voraussetzungen für eine Wiedererwägung Art. 53 Abs. 2 ATSG). Ein gerichtlich durchsetzbarer Anspruch auf Korrektur der Verfügung besteht - von hier nicht zutreffenden Ausnahmen (wie etwa Art. 77 AHVV [SR 831.101], rechnerische Korrektur einer Rentenverfügung) abgesehen - nicht. Zum andern ist dem Versicherungsträger eine Wiederwägung lite pendente gemäss Art. 53 Abs. 3 ATSG nach Erstattung der Beschwerdeantwort untersagt. Einer nach diesem Zeitpunkt erlassenen Verfügung kommt immerhin der Charakter eines Antrags an das Gericht zu (Kieser, a.a.O., Art. 53 N. 78). Daraus folgt, dass auf Ziffer 1 des replicando gestellten Rechtsbegehrens von vornherein nicht eingetreten werden kann. Soweit die Beschwerdeführerin hingegen die Ausrichtung einer Kapitalabfindung respektive einer Witwenrente per 1. Juli 2013 beantragt, handelt es sich vorliegend um eine Präzisierung des Rechtsbegehrens, welche nach dem Gesagten zulässig ist.</w:t>
      </w:r>
    </w:p>
    <w:p>
      <w:r>
        <w:rPr>
          <w:b/>
        </w:rPr>
        <w:t>E. 4.1</w:t>
      </w:r>
    </w:p>
    <w:p>
      <w:r>
        <w:t>Anspruch auf eine Witwen- oder Witwerrente haben Witwen oder Witwer, sofern sie im Zeitpunkt der Verwitwung Kinder haben (Art. 23 Abs. 1 AHVG). Gemäss Art. 23 Abs. 3 Satz 1 AHVG entsteht der Anspruch auf die Witwen- oder Witwerrente am ersten Tag des dem Tod des Ehemannes oder der Ehefrau folgenden Monats. Anspruch auf eine ordentliche Alters- oder Hinterlassenenrente haben die rentenberechtigten Personen, denen für mindestens ein volles Jahr Einkommen, Erziehungs- oder Betreuungsgutschriften angerechnet werden können, oder ihre Hinterlassenen (Art. 29 Abs. 1 AHVG). 4.2.1 Die Vorinstanz teilte dem Bundesverwaltungsgericht mit Eingabe vom 20. Februar 2015 mit, dass F._______ bei ihr einen Antrag auf Ausrichtung einer Witwenrente gestellt habe mit der Begründung, sie habe - gemäss beigelegtem Auszug aus dem türkischen Zivilstandsregister - A._______ (sel.) am (...) 2005 (erneut) geheiratet, nachdem die Ehe mit der Beschwerdeführerin angeblich geschieden worden sei; dementsprechend sei sie im Zeitpunkt des Todes von A._______ (sel.) dessen Ehefrau gewesen (BVGer act. 22). Ein Scheidungsurteil liege ihr allerdings bis dato nicht vor (BVGer act. 26, S. 2). 4.2.2 Dagegen liess die Beschwerdeführerin mit Replik vom 14. April 2015 einwenden, aus dem eingereichten Heiratszertifikat vom 6. Mai 2009 und den weiteren nachgereichten Akten gehe hervor, dass die Ehe zwischen ihr und A._______ (sel.) bis zu dessen Tod nach wie vor Bestand gehabt habe (BVGer act. 24, S. 9 f. samt Beilagen 12 - 14). Darüber hinaus sei sie auch im Schweizerischen Zivilstandsregister als rechtmässige Ehefrau aufgeführt (act. 3, S. 2). 4.2.3 Aufgrund der vorliegenden Akten, insbesondere des Eintrags im Schweizerischen Zivilstandsregister (act. 3) und der kosovarischen Ehebescheinigungen (act. 26, S. 165; Beilage 12 zu BVGer act. 24), ist davon auszugehen, dass die Ehe zwischen der Beschwerdeführerin und A._______ (sel.) bis zu dessen Tod bestanden hat. Nachdem weder die Vor­instanz noch eine Drittperson bis dato einen Beleg für die von F._______ behauptete Scheidung eingereicht hat, bestehen jedenfalls bis zum gegenwärtigen Zeitpunkt keine rechtsgenüglichen Hinweise für die Annahme einer Auflösung dieses Eheverhältnisses, zumal sich die Beschwerdeführerin auf die gesetzliche Vermutung der Richtigkeit des Eintrags im Schweizerischen Zivilstandsregister (Art. 9 ZGB) berufen kann. Im Übrigen ist darauf hinzuweisen, dass das Datum der behaupteten Scheidung jedenfalls zurzeit nicht verlässlich bekannt ist, sodass eine Prüfung des Rentenanspruchs des geschiedenen Ehegatten aufgrund der vorliegenden Akten nicht möglich ist (vgl. dazu Art. 24a Abs. 1 Bst. a AHVG). 4.2.4 Wie es sich diesbezüglich verhält, braucht indes nicht abschliessend geklärt zu werden, da vorliegend - wie nachfolgend aufzuzeigen ist (vgl. dazu nachstehende E. 5.4 und E. 6) - weder die Voraussetzungen für die Ausrichtung von AHV-Hinterlassenenleistungen noch jene für die Rückvergütung von AHV-Beiträgen erfüllt sind.</w:t>
      </w:r>
    </w:p>
    <w:p>
      <w:r>
        <w:rPr>
          <w:b/>
        </w:rPr>
        <w:t>E. 4.3</w:t>
      </w:r>
    </w:p>
    <w:p>
      <w:r>
        <w:t>A._______ verstarb am (...) 2013 in der Schweiz (act. 1 und act. 3). Zuvor wurden ihm von der Ausgleichskasse des Kantons Wallis insbesondere eine einfache AHV-Altersrente sowie eine Kinderrente für die gemeinsame Tochter E._______ ausgerichtet (act. 26, S. 212 und S. 238). In Anwendung der vorstehend erwähnten Gesetzesnormen hätte die Beschwerdeführerin somit grundsätzlich ab dem 1. Juli 2013 Anspruch auf eine ordentliche Witwenrente. Zu prüfen sind nachfolgend allerdings die zusätzlichen Voraussetzungen, welche das Gesetz an die Rentenberechtigung ausländischer Staatsangehöriger knüpft. 5.1 Ausländerinnen und Ausländer sowie ihre Hinterlassenen ohne Schweizer Bürgerrecht sind nur rentenberechtigt, solange sie ihren Wohnsitz und gewöhnlichen Aufenthalt (Art. 13 ATSG) in der Schweiz haben (Art. 18 Abs. 2 Satz 1 AHVG). Dieses Erfordernis ist von jeder Person, für die eine Rente ausgerichtet wird, einzeln zu erfüllen (Art. 18 Abs. 2 Satz 2 AHVG). Vorbehalten bleiben die besonderen Vorschriften über die Rechtsstellung der Flüchtlinge und der Staatenlosen sowie abweichende zwischenstaatliche Vereinbarungen (Art. 18 Abs. 2 Satz 3 AHVG). Bei Personen, die mehrere sich ablösende Staatsangehörigkeiten besessen haben, ist für die Rentenberechtigung die Staatsangehörigkeit während des Rentenbezugs massgebend (Art. 18 Abs. 2bis AHVG;in Kraft seit 1. Januar 2012; AS 2011 4745; BBl 2011 543). 5.2 Die im Kosovo wohnhafte Beschwerdeführerin verfügt nicht über die Schweizer Staatsbürgerschaft. Sie erfüllt mangels Wohnsitzes und gewöhnlichen Aufenthalts in der Schweiz die Anspruchsvoraussetzungen auf eine Hinterlassenenrente gemäss Art. 18 Abs. 2 AHVG nicht. 5.3 Zu prüfen ist in einem weiteren Schritt, ob sich die Beschwerdeführerin auf eine abweichende zwischenstaatliche Vereinbarung im Sinne von Art. 18 Abs. 2 Satz 3 AHVG berufen kann. 5.3.1 Gemäss BGE 139 V 263 sind das Abkommen vom 8. Juni 1962 zwischen der Schweizerischen Eidgenossenschaft und der ehemaligen Föderativen Volksrepublik Jugoslawien über Sozialversicherung (SR 0.831.109.818.1; nachfolgend: Abkommen) sowie die Verwaltungsvereinbarung vom 5. Juli 1963 betreffend die Durchführung des Abkommens (SR 0.831.109.818.12) ab dem 1. April 2010 nicht weiter auf kosovarische Staatsangehörige anzuwenden. Die laufenden Renten geniessen demgegenüber den Besitzstand (BGE 139 V 335 E. 6.1). 5.3.2 Aus den Akten geht hervor, dass die in der Republik Kosovo wohnhafte Beschwerdeführerin über die Staatsbürgerschaft dieses Landes verfügt (act. 2, S. 3 und act. 5, S. 1). Nach konstanter Rechtsprechung sind in zeitlicher Hinsicht regelmässig diejenigen Rechtssätze massgebend, die bei der Erfüllung des zu Rechtsfolgen führenden Tatbestandes Geltung haben (BGE 130 V 445 E. 1.2.1 S. 447; BGE 127 V 466 E. 1 S. 467); deshalb bildet für die Frage, ob das für Angehörige der heutigen Republik Kosovo per Ende März 2010 ausser Kraft gesetzte Sozialversicherungsabkommen (BGE 139 V 263) weiterhin zur Anwendung gelangt, die Entstehung des Rentenanspruchs und nicht der Zeitpunkt des Verfügungserlasses den massgebenden Anknüpfungspunkt (BGE 139 V 335 E. 6.2). Hinsichtlich des Anspruchs auf Witwenrente tritt der Versicherungsfall rechtsprechungsgemäss am ersten Tag des dem Tod des Ehemannes folgenden Monats ein (BGE 100 V 208 E. 1). Gemäss dem vorstehend zitierten BGE 139 V 263 ist das Abkommen ab dem 1. April 2010 nicht weiter auf Staatsbürgerinnen und -bürger der Republik Kosovo anwendbar. Im vorliegenden Fall ist das versicherte Ereignis am 1. Tag des dem Tod des Ehemannes folgenden Monats (Art. 23 Abs. 3 AHVG), das heisst am 1. Juli 2013, eingetreten. Bezüglich des geltend gemachten Anspruchs auf die Witwenrente ist der Versicherungsfall somit nach dem genannten Stichtag eingetreten (vgl. dazu auch BGE 139 V 335 E. 6.2). Demnach hat die Beschwerdeführerin diesbezüglich nicht mehr die Rechtsstellung einer Vertragsausländerin inne; sie gilt vielmehr seit dem 1. April 2010 als Nichtvertragsausländerin. Ein Export von Rentenleistungen in die Republik Kosovo ist mit Blick auf das dargelegte höchstrichterliche Urteil demnach nicht (mehr) möglich. 5.4 5.4.1 Die Beschwerdeführerin macht beschwerdeweise erstmals geltend, sie sei sowohl Bürgerin von Kosovo als auch von Serbien. Auch für kosovarische Staatsangehörige müsse es, insbesondere wenn - wie hier - die serbische Staatsangehörigkeit nachgewiesen werde, zu einer Anwendung des Sozialversicherungsabkommens kommen. Für die Anwendbarkeit des Sozialversicherungsabkommens sei die Auffassung Serbiens massgebend, wonach auch Bewohner des Kosovo noch auf serbischem Staatsgebiet wohnen und auch über die serbische Staatsangehörigkeit verfügen würden. Ihre serbische Staatsangehörigkeit sei durch die nachgereichten Belege (Beilagen 10 und 11 zu BVGer act. 24) nachgewiesen. Massgebend sei im Übrigen nicht ihre gegenüber der SAK mitgeteilte Rechtsauffassung, sondern vielmehr diejenige der relevanten Vertragspartner. Das Abkommen sei vorliegend weiterhin anzuwenden, ansonsten die Schweizerische Eidgenossenschaft gegenüber Serbien vertragsbrüchig würde. Falls die Teilrente weniger als einen Fünftel einer ordentlichen Vollrente betrage, bestehe ein Wahlrecht auf Bezug einer (kapitalisierten) Abfindung im Sinn von Art. 7 Bst. a des Sozialversicherungsabkommens, und zwar selbst dann, wenn der verstorbene Ehemann bereits AHV-Renten bezogen habe. Beim Erfordernis des biometrischen Reisepasses handle es sich um einen Grundsatz, von welchem gegebenenfalls auch abgewichen werden könne. Insbesondere wenn - wie hier - die finanziellen Verhältnisse die Beschaffung eines biometrischen Passes gar nicht erlauben würden, erweise sich dieses Beweiserfordernis als überspitzt formalistisch (BVGer act. 24 und 30). 5.4.2 Dagegen wendet die Vorinstanz ein, für den Nachweis einer serbischen Staatsangehörigkeit genüge nur ein gültiger biometrischer Pass Serbiens ohne Einschränkungen hinsichtlich der Visa-Freiheit für den Schengenraum und ohne den Vermerk "Koordinaciona Uprava". Das Bundesgericht habe sich explizit auf die Weisungen des BSV (Mitteillungen an die AHV-Ausgleichskassen und EL-Durchführungsstellen Nr. 326 vom 20.02.2013) bezogen. Nachdem die eingereichte Passkopie mit diesem Vermerk versehen sei, könne die Beschwerdeführerin aus diesem Dokument nichts zu ihren Gunsten ableiten. Die Beschwerdeführerin verfüge mithin nur über die kosovarische Staatsangehörigkeit und habe demnach grundsätzlich nur Anspruch auf Rückvergütung der AHV-Beiträge. Allerdings würden die ausgerichteten AHV-Renten in der Höhe von Fr. 70'998.- den Rückvergütungsbetrag übersteigen, sodass auch der Antrag auf Rückvergütung zu Recht abgewiesen worden sei (BVGer act. 26). 5.4.3 5.4.3.1 Vorliegend hielt die Beschwerdeführerin in ihrem am 11. Juni 2014 (Datum Posteingang) bei der Vorinstanz eingereichten Gesuchsformular betreffend ihren Antrag auf Rückvergütung von AHV-Beiträgen explizit fest, dass sie kosovarische Staatsangehörige sei, in Prishtina (Kosovo) wohne und nicht über eine weitere Staatsangehörigkeit verfüge (act. 2). Erst im laufenden Beschwerdeverfahren machte sie mit Replik ihrer Rechtsvertreterin vom 14. April 2015 erstmals geltend, dass sie neben der kosovarischen auch über die serbische Staatsangehörigkeit verfüge. Als Beleg hierfür reichte sie Kopien ihrer Identitätskarte und eines serbischen Reisepasses ein (Beilage 11 zu BVGer act. 24). 5.4.3.2 Das Verhalten der Beschwerdeführerin erscheint insgesamt als widersprüchlich, und die behauptete serbische Staatsangehörigkeit muss als nachgeschoben betrachtet werden. Die im Beschwerdeverfahren eingereichten Beweismittel (Beilage 11 zu BVGer act. 24) vermögen den Nachweis für die behauptete serbische Staatsangehörigkeit nicht zu erbringen, zumal es sich anerkanntermassen nicht um einem biometrischen Reisepass handelt; darüber hinaus ist der Pass auch mit dem Vermerk "Koordinaciona Uprava" versehen (vgl. dazu auch Urteile des BGer 9C_474/2015 vom 19. August 2015 E. 3; 9C_140/2013 vom 31. Oktober 2013 E. 3.1 und 9C_53/2013 vom 6. August 2013 E. 3.1). Das Bundesgericht hat in seiner neueren Rechtsprechung einen Automatismus oder den Grundsatz, dass Personen aus dem Kosovo neben der kosovarischen auch die serbische Staatsangehörigkeit besitzen, ausdrücklich verworfen. Aus der Tatsache, dass die Republik Kosovo die multiple Staatsbürgerschaft zulasse, könne nicht abgeleitet werden, dass kosovarische Staatsangehörige ohne weiteres kosovarisch-serbische Doppelbürger seien. Dennoch könne das Vorliegen einer kosovarisch-serbischen Doppelbürgerschaft aber nicht ausgeschlossen werden. Eine solche sei indessen nicht nur überzeugend zu behaupten, sondern rechtsgenüglich zu belegen (BGE 139 V 263 E. 12.2). Für den rechtsgenüglichen Beweis einer kosovarisch-serbischen Doppelbürgerschaft wurde in Erwägung 12.2 des vorstehend erwähnten Bundesgerichtsentscheids insbesondere auf die Mitteilung Nr. 326 des BSV vom 20. Februar 2013 verwiesen. Danach ist im Hinblick auf den Nachweis der serbischen Staatsangehörigkeit unter anderem zu beachten, dass für den Beweis der serbischen Nationalität nur ein gültiger biometrischer Pass Serbiens ohne Einschränkungen hinsichtlich Visa-Freiheit für den Schengenraum akzeptiert wird. Der Pass darf keinen Vermerk "Koordinaciona Uprava" (Verwaltungskoordination) der serbischen passausstellenden Behörde enthalten. Andere Nachweise für die serbische Staatsangehörigkeit, wie namentlich alte abgelaufene Pässe, jugoslawische Pässe und serbische Staatsangehörigkeitsbescheinigungen, werden nicht akzeptiert. Das Bundesverwaltungsgericht hat diese Rechtsprechung zu den beweisrechtlichen Anforderungen an den Nachweis einer vom Beschwerdeführer geltend gemachten serbischen Staatsangehörigkeit in der Folge mehrfach bestätigt (vgl. dazu Urteil des BVGer C-6533/2012 vom 31. März 2016 E. 5.3 mit Hinweisen). 5.4.3.3 Die Beschwerdeführerin macht keine Gründe geltend, welche ein Abweichen von der genannten Praxis zu rechtfertigen vermöchten. Nicht stichhaltig ist insbesondere der Einwand, die Kosten für die Beschaffung eines biometrischen Passes seien für sie unverhältnismässig hoch. Angesichts der im Zusammenhang mit Rentenleistungen regelmässig auf dem Spiel stehenden grossen wirtschaftlichen Interessen kommt der Beweissicherheit ein sehr hoher Stellenwert zu, welcher gegenüber den geltend gemachten finanziellen Schwierigkeiten zur Beschaffung des biometrischen Passes überwiegt. Von einem überspitzten Formalismus kann daher nicht gesprochen werden. Mit Blick auf das Gebot der effizienten Missbrauchsbekämpfung erweist sich das Erfordernis eines biometrischen Reisepasses ohne den Koordinationsvermerk "Koordinaciona Uprava" auch als geeignetes und erforderliches Kriterium. Bei der genannten Mitteilung des Bundesamtes handelt es sich zwar um eine für das Gericht nicht verbindliche Verwaltungsweisung. Nach konstanter Praxis soll das Gericht diese aber bei seiner Entscheidung berücksichtigen, sofern sie eine dem Einzelfall angepasste und gerecht werdende Auslegung der anwendbaren gesetzlichen Bestimmungen zulässt. Das Gericht weicht mithin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139 V 122 E. 3.3.4 mit weiteren Hinweisen auf die bundesgerichtliche Rechtsprechung). 5.4.4 Aus dem Gesagten folgt, dass die Beschwerdeführerin den Nachweis hinsichtlich der - im vorliegenden Beschwerdefahren erstmals geltend gemachten - serbischen Staatsangehörigkeit im Sinne der genannten Praxis nicht zu erbringen vermag. Sie gilt daher als Nichtvertragsausländerin, welche mangels Wohnsitzes in der Schweiz nicht rentenberechtigt ist (Art. 18 Abs. 2 Satz 1 und Satz 2 AHVG). 5.5 Nachdem das Sozialversicherungsabkommen vorliegend keine Anwendung findet, stösst der Einwand der Beschwerdeführerin, dass sie einen Anspruch auf eine Abfindung in der Höhe des Barwerts der geschuldeten Rente habe, ins Leere. Hinzu kommt, dass das von der Beschwerdeführerin geltend gemachte Wahlrecht in Fällen wie dem vorliegenden selbst dann nicht bestünde, wenn man - entgegen dem vorstehend Dargelegten (E. 5.3 und E. 5.4 hievor) - von der Anwendbarkeit des Sozialversicherungsabkommens ausgehen wollte. Zum einen sieht das Abkommen die Ablösung der laufenden Rente durch ein Kapital im hier zur Diskussion stehenden Todesfall nicht vor; zum andern übersteigt die Höhe der Rente (Fr. 563.- pro Monat für 2013; act. 8, S. 1) auch das Maximum von einem Fünftel einer ordentlichen Vollrente (Fr. 2'350.- pro Monat für 2013), sodass selbst dann kein Anspruch auf eine Abfindung bestünde, wenn das Sozialversicherungsabkommen hier anwendbar wäre. Schliesslich fällt ein Abfindungsanspruch auch deshalb ausser Betracht, weil die bereits bezogenen AHV-Renten auch im Fall des Kapitalbezugs bei Verlassen der Schweiz anzurechnen wären (vgl. dazu nachstehende E. 6).</w:t>
      </w:r>
    </w:p>
    <w:p>
      <w:r>
        <w:rPr>
          <w:b/>
        </w:rPr>
        <w:t>E. 6</w:t>
      </w:r>
    </w:p>
    <w:p>
      <w:r>
        <w:t>Zu prüfen bleibt, ob die Beschwerdeführerin einen Anspruch auf Rückerstattung der AHV-Beiträge hat.</w:t>
      </w:r>
    </w:p>
    <w:p>
      <w:r>
        <w:rPr>
          <w:b/>
        </w:rPr>
        <w:t>E. 6.1.1</w:t>
      </w:r>
    </w:p>
    <w:p>
      <w:r>
        <w:t>Den Ausländern, die ihren Wohnsitz im Ausland haben und mit deren Heimatstaat keine zwischenstaatliche Vereinbarung besteht, sowie ihren Hinterlassenen können die gemäss den Art. 5, 6, 8, 10 oder 13 AHVG bezahlten Beiträge rückvergütet werden. Der Bundesrat regelt die Einzelheiten, insbesondere das Ausmass der Rückvergütung (Art. 18 Abs. 3 AHVG). 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6.1.2</w:t>
      </w:r>
    </w:p>
    <w:p>
      <w:r>
        <w:t>Der Umfang der Rückvergütung der an die Alters- und Hinterlassenenversicherung bezahlten Beiträge bestimmt sich nach Art. 4 RV-AHV. Rückvergütet werden nur die tatsächlich geleisteten Beiträge. Zinsen werden vorbehältlich Art. 26 Abs. 2 ATSG keine geleistet (Art. 4 Abs. 1 RV-AHV). Die Rückvergütung umfasst dabei sowohl Arbeitnehmer- als auch Arbeitgeberbeiträge (Rz. 13 der Weisungen des Bundesamtes für Sozialversicherung über die Rückvergütung der von Ausländern an die AHV bezahlten Beiträge [Rück], ab der ab 1. Januar 2003 geltenden Fassung; &lt; http://www.bsv.admin.ch &gt; Praxis &gt; AHV &gt; Grundlagen AHV &gt; Weisungen Renten, abgerufen am 10.02.2016). Bereits bezogene Renten sind vom Rückvergütungsbetrag abzuziehen. Dies gilt insbesondere auch für den Fall, dass der Versicherte eine Rückvergütung von AHV-Beiträgen wegen Verlegung des Wohnsitzes von der Schweiz in einen Nichtvertragsstaat geltend macht (Art. 4 Abs. 3 Satz 2 RV-AHV; vgl. dazu auch BVGE 2013/57 E. 7.3). Der Abzug von bereits entrichteten Rentenbetreffnissen gemäss Art. 4 Abs. 3 Satz 2 RV-AHV ist vom Bundesgericht als rechtmässig beurteilt worden. Soweit AHV-intern bereits Leistungen geflossen sind, erweist sich die Regelung von Art. 4 Abs. 2 Satz 2 RV-AHVV als rechtmässig; denn würden die bereits ausbezahlten AHV-Renten bei der Auszahlung des (vollen) kapitalisierten Rentenanspruchs nicht abgezogen, ergäbe die Kumulation der rückzahlbaren AHV-Beiträge mit den bereits bezogenen AHV-Leistungen eine unzulässige Überentschädigung; vgl. dazu Urteile des BGer 9C_533/2013 vom 16. Dezember 2013 E. 4.2.2; 9C_83/2009 vom 14. April 2010 E. 3.4; [zur Publikation vorgesehenes] Urteil des BVGer C-657/2012 vom 13. Januar 2016 E. 6.4.5 mit Hinweisen).</w:t>
      </w:r>
    </w:p>
    <w:p>
      <w:r>
        <w:rPr>
          <w:b/>
        </w:rPr>
        <w:t>E. 6.2</w:t>
      </w:r>
    </w:p>
    <w:p>
      <w:r>
        <w:t>Vorliegend geht aus den Akten hervor, dass A._______ (sel.) im Jahr 1977 sowie zwischen 1987 und 2001 in der Schweiz Erwerbseinkommen von total Fr. 250'194.- erzielt und hierauf AHV-Beiträge von insgesamt Fr. 21'016.35 (= 8.4 % von Fr. 250'194.-) entrichtet hat (act. 6 [IK-Auszug]; act. 7, S. 2). Unbestritten ist ferner, dass der verstorbene Ehemann der Beschwerdeführerin in der Zeit von Mai 2002 bis Juni 2013 ordentliche AHV-Renten in der Höhe von insgesamt Fr. 70'998.- bezogen hat. Dieser Betrag übersteigt den Rückvergütungsbetrag von Fr. 21'016.35 deutlich, sodass zugunsten der Beschwerdeführerin kein Guthaben resultiert. Dementsprechend besteht auch kein Anspruch auf eine Rückvergütung von AHV-Beiträgen. Damit steht fest, dass die SAK zu Recht eine Rückvergütung von AHV-Beiträgen abgelehnt hat.</w:t>
      </w:r>
    </w:p>
    <w:p>
      <w:r>
        <w:rPr>
          <w:b/>
        </w:rPr>
        <w:t>E. 7</w:t>
      </w:r>
    </w:p>
    <w:p>
      <w:r>
        <w:t>Zusammenfassend ist festzuhalten, dass die Beschwerdeführerin den Nachweis für die im vorliegenden Beschwerdeverfahren erstmals geltend gemachte kosovarisch-serbische Staatsangehörigkeit nicht hat erbringen können. Der Ehemann der Beschwerdeführerin ist am 26. Juni 2013 verstorben, sodass der Versicherungsfall für die AHV-Hinterlassenenleistungen am 1. Juli 2013 eingetreten ist. Aufgrund der Nichtweiteranwendung des massgeblichen Sozialversicherungsabkommens auf kosovarische Staatsangehörige mit Wohnsitz im Kosovo ab dem 1. April 2010 gilt die Beschwerdeführerin als Angehörige eines Nichtvertragsstaates, welche keinen Anspruch auf Export von Hinterlassenenleistungen hat. Damit entfällt sowohl der Anspruch auf eine Witwen- bzw. Waisenrente als auch jener auf eine Abfindung. Ein Anspruch auf Rückvergütung von entrichteten AHV-Beiträgen scheidet vorliegend ebenfalls aus, weil bereits bezogene Renten vom Rückvergütungsbetrag abzuziehen sind und das Total der bezogenen Renten die Summe der entrichteten AHV-Beiträge übersteigt.</w:t>
      </w:r>
    </w:p>
    <w:p>
      <w:r>
        <w:rPr>
          <w:b/>
        </w:rPr>
        <w:t>E. 8</w:t>
      </w:r>
    </w:p>
    <w:p>
      <w:r>
        <w:t>Die Beschwerde erweist sich demnach als unbegründet, weshalb sie abzuweisen und der vorinstanzliche Einspracheentscheid vom 28. Juli 2014 zu bestätigen ist, soweit auf die Beschwerde einzutreten ist.</w:t>
      </w:r>
    </w:p>
    <w:p>
      <w:r>
        <w:rPr>
          <w:b/>
        </w:rPr>
        <w:t>E. 8.1</w:t>
      </w:r>
    </w:p>
    <w:p>
      <w:r>
        <w:t>Das Verfahren ist kostenlos (Art. 85bis Abs. 2 AHVG), weshalb keine Verfahrenskosten zu erheben sind.</w:t>
      </w:r>
    </w:p>
    <w:p>
      <w:r>
        <w:rPr>
          <w:b/>
        </w:rPr>
        <w:t>E. 8.2.1</w:t>
      </w:r>
    </w:p>
    <w:p>
      <w:r>
        <w:t>Die Beschwerdeführerin hat mit Eingabe vom 13. November 2014 (BVGer act. 9) ein Gesuch um Gewährung der unentgeltlichen Prozessführung gestellt, über das bisher nicht entschieden worden ist. Aufgrund des eingereichten Gesuchs und der Beweismittel (vgl. BVGer act. 19 samt Beilagen) ist von der Bedürftigkeit der Beschwerdeführerin auszugehen, zumal unter den gegebenen Umständen (Mittellosigkeit ohne regelmässige Einnahmen zur Finanzierung ihres Lebensunterhaltes) nicht davon ausgegangen werden kann, dass der Beschwerdeführerin auf die (im Antragsformular "Gesuch um unentgeltliche Rechtspflege"; Beilage 1 zu BVGer act. 19) als Vermögen deklarierte Eigentumswohnung ein Hypothekarkredit für die Prozesskosten gewährt würde, könnte die angefragte Bank bei einem fehlenden Einkommen doch kaum mit der regelmässigen Zahlung der Hypothekarzinsen rechnen (vgl. dazu Urteil des BGer 4A_668/2010 vom 17. Februar 2011 E. 3.3), sodass ihr die Aufnahme einer Hypothek im konkreten Fall nicht zugemutet werden kann. Zudem kann die Sache nicht als von vorneherein aussichtslos im Sinne der bundesgerichtlichen Rechtsprechung bezeichnet werden.</w:t>
      </w:r>
    </w:p>
    <w:p>
      <w:r>
        <w:rPr>
          <w:b/>
        </w:rPr>
        <w:t>E. 8.2.2</w:t>
      </w:r>
    </w:p>
    <w:p>
      <w:r>
        <w:t>Die obsiegende Vorinstanz hat als Bundesbehörde keinen Anspruch auf Parteientschädigung (Art. 7 Abs. 3 des Reglements vom 21. Februar 2008 über die Kosten und Entschädigungen vor dem Bundesverwaltungsgericht [VGKE, SR 73.320.2]). Zu prüfen bleibt, ob der Beschwerdeführerin Rechtsanwältin Dr. Barbara Wyler als unentgeltliche Rechtsbeiständin im Beschwerdeverfahren beizuordnen und ein amtliches Honorar zuzusprechen ist.</w:t>
      </w:r>
    </w:p>
    <w:p>
      <w:r>
        <w:rPr>
          <w:b/>
        </w:rPr>
        <w:t>E. 8.2.2.1</w:t>
      </w:r>
    </w:p>
    <w:p>
      <w:r>
        <w:t>Die unentgeltliche Verbeiständung nach Art. 65 Abs. 2 VwVG setzt voraus, dass die mittellose Partei, deren Rechtsbegehren nicht aussichtslos erscheinen (beides ist vorliegend zu bejahen), zur Wahrung ihrer Interessen eines Anwalts bedarf. Nach der Rechtsprechung trifft dies zu, wenn Interessen der gesuchstellenden Partei in schwerwiegender Weise betroffen sind und der Fall in tatsächlicher und rechtlicher Hinsicht Schwierigkeiten bietet, die den Beizug eines Rechtsvertreters erforderlich machen. Droht das infrage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die Gesuchsteller auf sich alleine gestellt nicht gewachsen wäre (vgl. Urteil des BGer 8C_172/2010 vom 29. März 2010 E. 3 m.w.H.). Vorliegend sind diese Voraussetzungen gegeben, zumal der Fall in rechtlicher Hinsicht Schwierigkeiten bietet, sodass von einer hohen Komplexität des Verfahrens auszugehen und die Notwendigkeit einer anwaltlichen Verbeiständung zu bejahen ist.</w:t>
      </w:r>
    </w:p>
    <w:p>
      <w:r>
        <w:rPr>
          <w:b/>
        </w:rPr>
        <w:t>E. 8.2.2.2</w:t>
      </w:r>
    </w:p>
    <w:p>
      <w:r>
        <w:t>Für amtliche bestellte Anwältinnen und Anwälte sind die Art. 8 - 11 VGKE sinngemäss anwendbar (Art. 12 VGKE). Die Parteientschädigung umfasst die Kosten der Vertretung sowie allfällige weitere Auslagen der Partei (Art. 8 Abs. 1 VGKE). Zu berücksichtigen sind ferner die Bedeutung der Streitsache und die Schwierigkeit des Prozesses (Art. 61 Bst. g Satz 2 ATSG). Das Anwaltshonorar bemisst sich in erster Linien nach dem notwendigen Zeitaufwand (Art. 10 Abs. 1 VGKE). Der Anspruch auf unentgeltlichen Rechtsbeistand umfasst nicht alles, was für die Wahrnehmung der Interessen des Mandanten von Bedeutung ist. Ein verfassungsrechtlicher Anspruch besteht gemäss Art. 29 Abs. 3 BV vielmehr nur insoweit, als die Verbeiständung zur Wahrung der Rechte notwendig ist. Der Begriff der Notwendigkeit bestimmt nicht nur den qualitativen Anspruch (die Bestellung eines Rechtsbeistands), sondern auch den quantitativen (den Umfang der Vergütung). Entschädigungspflichtig sind jene Aufwendungen, die in einem kausalen Zusammenhang mit der Wahrung der Rechte im Prozess stehen und notwendig und verhältnismässig sind. Nur in diesem Umfang lässt es sich rechtfertigen, die Kosten der Staatskasse oder gegebenenfalls dem Prozessgegner aufzuerlegen (Urteil des BGer 9C_857/2012 vom 4. Dezember 2012 E. 3.1). Dem letztgenannten Bemessungskriterium kommt denn auch seit jeher vorrangige Bedeutung zu. Bei der Frage nach dem notwendigen Vertretungsaufwand dürfen die Gerichte auch in Betracht ziehen, dass der Sozialversicherungsprozess von der Untersuchungsmaxime beherrscht wird, wodurch in vielen Fällen die Arbeit der Rechtsvertretenden erleichtert wird. Diese Arbeit soll nur insoweit berücksichtigt werden, als sich die Anwältin/der Anwalt bei der Erfüllung ihrer Aufgabe in einem vernünftigen Rahmen hält, unter Ausschluss nutzloser oder sonstwie überflüssiger Schritte. Zu entschädigen ist nicht der geltend gemachte, sondern nur der notwendige Aufwand (vgl. Urteil des BGer 8C_723/2009 vom 14. Januar 2010 E. 3.2 und 4.3 mit Hinweisen).</w:t>
      </w:r>
    </w:p>
    <w:p>
      <w:r>
        <w:rPr>
          <w:b/>
        </w:rPr>
        <w:t>E. 8.2.2.3</w:t>
      </w:r>
    </w:p>
    <w:p>
      <w:r>
        <w:t>Die Rechtsvertreterin hat vorliegend mit Triplik vom 9. Juli 2015 eine Kostennote mit einem geltend gemachten Arbeitsaufwand von 49.88 h, abgerechnet zu einem Stundenansatz von Fr. 200.-, und einem Betrag von Fr. 11'344.30 (inkl. MWSt von Fr. 840.32) eingereicht (Beilage 16 zu BVGer act. 30). Der verrechnete Stundenansatz ist angemessen und daher nicht zu beanstanden. Allerdings übersteigt der geltend gemachte Zeitaufwand von annähernd 50 Stunden das in vergleichbaren Fällen als notwendig eingestufte Mass deutlich. Vorliegend ist insbesondere nicht ersichtlich, inwiefern sich in der vorliegenden Beschwerdesache ein überdurchschnittlicher Zeitaufwand als notwendig erweisen soll, zumal die Akten nicht überdurchschnittlich umfangreich sind, der Sachverhalt überschaubar ist und auch nicht zu umfangreichen Rechtsabklärungen Anlass gab. In diesem Zusammenhang fällt insbesondere auf, dass die Rechtsvertreterin für Besprechungen mit diversen Personen, für ihre Vorabklärungen und die Ausarbeitung des Gesuchs um unentgeltliche Verbeiständung vom 3. Februar 2015 (vgl. BVGer act. BVGer act. 19 samt Beilagen) bereits einen Zeitaufwand von 28.53 h geltend macht. Ein solcher Aufwand erscheint weit überdurchschnittlich und kann auch nicht mit tatsächlichen oder rechtlichen Besonderheiten des konkreten Falls sachlich begründet und gerechtfertigt werden. Insgesamt erscheint für dieses Stadium ein Vertretungsaufwand von 4 Stunden angemessen. Im Übrigen ist darauf hinzuweisen, dass die Arbeiten für das Abfassen der zweiten Eingabe betreffend unentgeltliche Verbeiständung vom 23. Februar 2015 (BVGer act. 21) insoweit nicht notwendig und damit nicht zu entschädigen sind, als die Rechtsvertreterin darin ihren bereits am 3. Februar 2015 gestellten Verfahrensantrag, entgegen der mit Zwischenverfügung vom 4. Februar 2015 abgelehnten Verknüpfung der Frist zur Einreichung der Replik mit dem Entscheid über die unentgeltliche Verbeiständung (BVGer act. 20), erneuert hat. Für das Abfassen der Replik (BVGer act. 24) und die damit direkt zusammenhängenden Vorbereitungsarbeiten erscheint ein Aufwand von maximal 7 Stunden und für die Triplik (BVGer act. 30) ein solcher von höchstens 2 Stunden als notwendig und angemessen. Unter Berücksichtigung des gebotenen und aktenkundigen Aufwands, der Bedeutung der Streitsache und der Schwierigkeit der vorliegend zu beurteilenden Fragen, ist der Beschwerdeführerin zu Lasten der Vorinstanz eine Parteientschädigung von gerundet Fr. 2'950.- (rund 13 Stunden zu einem Stundenansatz von Fr. 200.- inkl. als angemessen zu erachtende Auslagen in Höhe von rund Fr. 100.- [vgl. dazu Urteile des BVGer C-5488/2012 vom 4. Februar 2016 E. 7.2 und A-4556/2011 vom 27. März 2012 E. 3.1.3] und darin enthaltener Mehrwertsteuer von 8%)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