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C-4805/2015 vom 29. April 2016</w:t>
      </w:r>
    </w:p>
    <w:p>
      <w:r>
        <w:t>Bundesverwaltungsgericht, 2016-04-29, FR</w:t>
      </w:r>
    </w:p>
    <w:p>
      <w:r>
        <w:rPr>
          <w:b/>
        </w:rPr>
        <w:t xml:space="preserve">Quelle: </w:t>
      </w:r>
      <w:r>
        <w:t>https://mcp.opencaselaw.ch/entscheid/bvger_C-4805_2015</w:t>
      </w:r>
    </w:p>
    <w:p>
      <w:r>
        <w:t>FR: TAF C-4805/2015 du 29 avril 2016</w:t>
      </w:r>
    </w:p>
    <w:p>
      <w:r>
        <w:t>IT: TAF C-4805/2015 del 29 aprile 2016</w:t>
      </w:r>
    </w:p>
    <w:p>
      <w:pPr>
        <w:pStyle w:val="Heading2"/>
      </w:pPr>
      <w:r>
        <w:t>Regeste</w:t>
      </w:r>
    </w:p>
    <w:p>
      <w:r>
        <w:t>Aide sociale aux Suisses de l'étranger</w:t>
      </w:r>
    </w:p>
    <w:p>
      <w:pPr>
        <w:pStyle w:val="Heading2"/>
      </w:pPr>
      <w:r>
        <w:t>Erwägungen</w:t>
      </w:r>
    </w:p>
    <w:p>
      <w:r>
        <w:rPr>
          <w:b/>
        </w:rPr>
        <w:t>E. 7</w:t>
      </w:r>
    </w:p>
    <w:p>
      <w:r>
        <w:t>Il reste à examiner si la situation personnelle de A._______ est éventuellement constitutive d'un cas de rigueur susceptible de justifier une exception au principe de l'art. 25 LSEtr (cf. consid. 5.5 supra).</w:t>
      </w:r>
    </w:p>
    <w:p>
      <w:r>
        <w:rPr>
          <w:b/>
        </w:rPr>
        <w:t>E. 7.1</w:t>
      </w:r>
    </w:p>
    <w:p>
      <w:r>
        <w:t>Une telle exception peut en particulier être admise lorsque l'existence physique du recourant est menacée (cf. les consid. 5.5 et 5.6 supra et l'arrêt du Tribunal administratif fédéral C-2490/2013 consid. 5.2.1 et la jurisprudence citée).</w:t>
      </w:r>
    </w:p>
    <w:p>
      <w:r>
        <w:rPr>
          <w:b/>
        </w:rPr>
        <w:t>E. 7.2</w:t>
      </w:r>
    </w:p>
    <w:p>
      <w:r>
        <w:t>Or, en l'occurrence, le recourant n'a pas allégué qu'il souffrait d'une maladie ou d'un handicap particulièrement grave. En outre, l'intéressé n'a pas avancé d'élément susceptible de démontrer que le refus de lui allouer une aide serait de nature à entraîner une mise en danger concrète de sa santé. Aussi, sans nier la situation économique difficile du recourant, il ne ressort pas du dossier que celui-ci se trouverait dans une situation de détresse grave ou dans un dénuement tel qu'il heurterait le sentiment de dignité humaine.</w:t>
      </w:r>
    </w:p>
    <w:p>
      <w:r>
        <w:rPr>
          <w:b/>
        </w:rPr>
        <w:t>E. 7.3</w:t>
      </w:r>
    </w:p>
    <w:p>
      <w:r>
        <w:t>Dans ces conditions, le Tribunal est amené à conclure que le DFAE était fondé à considérer que la situation de A._______ ne présentait pas un caractère de gravité exceptionnelle, seul susceptible de légitimer une dérogation au principe de la nationalité prépondérante consacré par l'art. 25 LSEtr.</w:t>
      </w:r>
    </w:p>
    <w:p>
      <w:r>
        <w:rPr>
          <w:b/>
        </w:rPr>
        <w:t>E. 8</w:t>
      </w:r>
    </w:p>
    <w:p>
      <w:r>
        <w:t>Eu égard aux considérations qui précèdent, le Tribunal arrive à la conclusion que, par sa décision du 7 juillet 2015, l'autorité de première instance n'a ni violé le droit fédéral, ni constaté des faits pertinents de manière inexacte ou incomplète ; en outre, la décision attaquée n'est pas inopportune (art. 49 PA). En conséquence, le recours est rejeté. Compte tenu de l'issue de la cause, il y aurait lieu de mettre les frais de procédure à la charge du recourant.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