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C-4802/2013 vom 8. Mai 2014</w:t>
      </w:r>
    </w:p>
    <w:p>
      <w:r>
        <w:t>Bundesverwaltungsgericht, 2014-05-08, DE</w:t>
      </w:r>
    </w:p>
    <w:p>
      <w:r>
        <w:rPr>
          <w:b/>
        </w:rPr>
        <w:t xml:space="preserve">Quelle: </w:t>
      </w:r>
      <w:r>
        <w:t>https://mcp.opencaselaw.ch/entscheid/bvger_C-4802_2013</w:t>
      </w:r>
    </w:p>
    <w:p>
      <w:r>
        <w:t>FR: TAF C-4802/2013 du 8 mai 2014</w:t>
      </w:r>
    </w:p>
    <w:p>
      <w:r>
        <w:t>IT: TAF C-4802/2013 del 8 maggio 2014</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sowie Art. 31, 32 und 33 Bst. d VGG) und der Beschwerdeführer ist als Adressat des angefochtenen Einspracheentscheids beschwerdelegitimiert (Art. 48 Abs. 1 VwVG; siehe auch Art. 59 ATSG [SR 830.1]). Auf die frist- und formgerecht eingereichte Beschwerde vom 19. August/28. September 2013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30. Juli 2013, mit dem die Vorinstanz das Gesuch des Beschwerdeführers auf Ausrichtung einer Altersrente beziehungsweise einer einmaligen Abfindung der schweizerischen AHV mangels Vorliegen eines zwischenstaatlichen Abkommens zwischen der Schweiz und der Republik Kosovo abgewiesen hat. Streitig und vom Bundesverwaltungsgericht zu prüfen ist, ob der Beschwerdeführer Anspruch auf Leistungen der schweizerischen AHV hat.</w:t>
      </w:r>
    </w:p>
    <w:p>
      <w:r>
        <w:rPr>
          <w:b/>
        </w:rPr>
        <w:t>E. 3.1</w:t>
      </w:r>
    </w:p>
    <w:p>
      <w:r>
        <w:t>Männer, welche das 65. Altersjahr und Frauen, welche das 64. Altersjahr vollendet haben, haben Anspruch auf eine ordentliche Altersrente, sofern ihnen für mindestens ein volles Jahr Einkommens-, Erziehungs- oder Betreuungsgutschriften angerechnet werden können (vgl. Art. 21 Abs. 1 Bst. a und b AHVG in Verbindung mit Art. 29 Abs. 1 AHVG). Der Anspruch auf die Altersrente entsteht am ersten Tag des Monats, welcher der Vollendung des gemäss Abs. 1 massgebenden Altersjahres folgt. Er erlischt mit dem Tod (Art. 21 Abs. 2 AHVG).</w:t>
      </w:r>
    </w:p>
    <w:p>
      <w:r>
        <w:rPr>
          <w:b/>
        </w:rPr>
        <w:t>E. 3.2</w:t>
      </w:r>
    </w:p>
    <w:p>
      <w:r>
        <w:t>Ausländerinnen und Ausländer sowie ihre Hinterlassenen ohne Schweizer Bürgerrecht sind gemäss Art. 18 Abs. 2 AHVG nur rentenberechtigt, solange sie ihren Wohnsitz und gewöhnlichen Aufenthalt (Art. 13 ATSG) in der Schweiz haben, soweit keine abweichende zwischenstaatliche Vereinbarung besteht.</w:t>
      </w:r>
    </w:p>
    <w:p>
      <w:r>
        <w:rPr>
          <w:b/>
        </w:rPr>
        <w:t>E. 4.1</w:t>
      </w:r>
    </w:p>
    <w:p>
      <w:r>
        <w:t>Der Beschwerdeführer ist eigenen Angaben zufolge und aufgrund der Akten (vgl. SAK-act. 1/1 und 2/5) kosovarischer Staatsangehöriger und wohnt in Kosovo. Die Voraussetzungen eines Wohnsitzes und gewöhnlichen Aufenthalts in der Schweiz erfüllt er zweifellos nicht, weshalb er gemäss Art. 18 Abs. 2 AHVG eine Rentenberechtigung lediglich gestützt auf eine abweichende zwischenstaatliche Vereinbarung geltend machen könnte.</w:t>
      </w:r>
    </w:p>
    <w:p>
      <w:r>
        <w:rPr>
          <w:b/>
        </w:rPr>
        <w:t>E. 4.2</w:t>
      </w:r>
    </w:p>
    <w:p>
      <w:r>
        <w:t>Wie das Bundesgericht in BGE 139 V 263 entschieden hat, ist das Abkommen vom 8. Juni 1962 zwischen der Schweizerischen Eidgenossenschaft und der ehemaligen Föderativen Volksrepublik Jugoslawien über Sozialversicherung (SR 0.831.109.818.1; nachfolgend: Sozialversicherungsabkommen) ab 1. April 2010 nicht weiter auf kosovarische Staatsangehörige anzuwenden. Da der Beschwerdeführer das ordentliche Rentenalter am (...) 2012 erreicht hat und der Versicherungsfall damit nach dem 31. März 2010 eingetreten ist (vgl. Urteil des BGer 9C_53/2013 vom 6. August 2013 E. 3.2) ist das Sozialversicherungsabkommen im vorliegenden Fall in zeitlicher Hinsicht nicht mehr anwendbar. Da der Beschwerdeführer im Übrigen auch keine Doppelbürgerschaft - welche eine allfällige Weiteranwendung des Abkommens mit sich bringen könnte (vgl. dazu Urteil des BGer 8C_109/2013 vom 9. Juli 2013 E. 5.1 und BGE 139 V 263 E. 9 ff. und E. 12.2) - geltend gemacht und bewiesen hat, gilt er als Angehöriger eines Nichtvertragsstaates. Folglich liegt hier keine abweichende zwischenstaatliche Vereinbarung im Sinn von Art 18 Abs. 2 AHVG vor.</w:t>
      </w:r>
    </w:p>
    <w:p>
      <w:r>
        <w:rPr>
          <w:b/>
        </w:rPr>
        <w:t>E. 4.3</w:t>
      </w:r>
    </w:p>
    <w:p>
      <w:r>
        <w:t>Aus diesen Gründen hat der Beschwerdeführer keinen Anspruch auf eine Altersrente und auch nicht auf eine - ehemals mögliche - einmalige Abfindung (vgl. Art. 7 Bst. a des Sozialversicherungsabkommens) der schweizerischen AHV. Er ist jedoch auf die Möglichkeit der Rückvergütung der geleisteten AHV-Beiträge gemäss der Verordnung über die Rückvergütung der von Ausländern an die Alters- und Hinterlassenenversicherung bezahlten Beiträge (SR 831.131.12) aufmerksam zu machen. Dem Beschwerdeführer steht es offen, bei der Vorinstanz ein entsprechendes Gesuch um Prüfung der Anspruchsvoraussetzungen der Beitragsrückvergütung einzureichen.</w:t>
      </w:r>
    </w:p>
    <w:p>
      <w:r>
        <w:rPr>
          <w:b/>
        </w:rPr>
        <w:t>E. 5</w:t>
      </w:r>
    </w:p>
    <w:p>
      <w:r>
        <w:t>Die Beschwerde erweist sich nach dem Dargelegten als offensichtlich unbegründet, weshalb sie im einzelrichterlichen Verfahren abzuweisen (Art. 23 Abs. 2 VGG i.V.m. Art. 85bis Abs. 3 AHVG) und der vorinstanzliche Einspracheentscheid vom 30. Juli 2013 zu bestätigen ist.</w:t>
      </w:r>
    </w:p>
    <w:p>
      <w:r>
        <w:rPr>
          <w:b/>
        </w:rPr>
        <w:t>E. 6</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