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C-4796/2007 vom 9. September 2009</w:t>
      </w:r>
    </w:p>
    <w:p>
      <w:r>
        <w:t>Bundesverwaltungsgericht, 2009-09-09, FR</w:t>
      </w:r>
    </w:p>
    <w:p>
      <w:r>
        <w:rPr>
          <w:b/>
        </w:rPr>
        <w:t xml:space="preserve">Quelle: </w:t>
      </w:r>
      <w:r>
        <w:t>https://mcp.opencaselaw.ch/entscheid/bvger_C-4796_2007</w:t>
      </w:r>
    </w:p>
    <w:p>
      <w:r>
        <w:t>FR: TAF C-4796/2007 du 9 septembre 2009</w:t>
      </w:r>
    </w:p>
    <w:p>
      <w:r>
        <w:t>IT: TAF C-4796/2007 del 9 settembre 2009</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la loi du 17 juin 2005 sur le Tribunal administratif fédéral (LTAF, RS 173.32), l'autorité de céans,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entrée en vigueur le 1er janvier 2003, est applicable. L'art. 1 al. 1 LAI dispose que les dispositions de la LPGA s'appliquent à l'assurance-invalidité (art. 1a à 26bis et 28 à 70), à moins que la LAI ne déroge à la LPGA.</w:t>
      </w:r>
    </w:p>
    <w:p>
      <w:r>
        <w:rPr>
          <w:b/>
        </w:rPr>
        <w:t>E. 1.3</w:t>
      </w:r>
    </w:p>
    <w:p>
      <w:r>
        <w:t>Le recourant a pris part à la procédure devant l'autorité inférieure; il est spécialement atteint par la décision attaquée et a un intérêt digne de protection à son annulation ou à sa modification (art. 48 al. 1 PA, cf. art. 59 LPGA). Il est, partant, légitimé à recourir. Dans la mesure où le recours a été introduit dans le délai et la forme prescrits (art. 60 LPGA et 52 PA), il est entré en matière sur le fond du recours.</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(ATFA cause I 435/02 consid. 2 du 4 février 2003;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3.1</w:t>
      </w:r>
    </w:p>
    <w:p>
      <w:r>
        <w:t>Selon l'art. 2 LPGA (également dans sa teneur en vigueur à partir du 1er janvier 2008), les dispositions de ladite loi sont applicables aux assurances sociales régies par la législation fédérale si et dans la mesure où les lois spéciales sur les assurances sociales le prévoient.</w:t>
      </w:r>
    </w:p>
    <w:p>
      <w:r>
        <w:rPr>
          <w:b/>
        </w:rPr>
        <w:t>E. 3.2</w:t>
      </w:r>
    </w:p>
    <w:p>
      <w:r>
        <w:t>Est litigieux en l'espèce le droit du recourant à une rente d'invalidité. L'examen du droit à des prestations selon la LAI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5ème révision de la LAI entrées en vigueur le 1er janvier 2008 ne sont donc pas applicables et les dispositions citées ci-après sont celles en vigueur jusqu'au 31 décembre 2007. Le recourant a présenté sa demande le 10 juillet 2006. En dérogation à l'art. 24 LPGA, l'art. 48 al. 2 LAI (dans sa teneur du 6 octobre 2000, en vigueur jusqu'au 31 décembre 2007) prévoit que si un assuré présente sa demande de rente plus de douze mois après la naissance du droit, les prestations ne sont allouées que pour les douze mois précédant le dépôt de la demande. Concrètement, le Tribunal peut se limiter à examiner si et dans quelle mesure le recourant avait droit à une rente le 10 juillet 2005 (12 mois avant le dépôt de la demande) ou si le droit à une rente était né entre cette date et le 12 juin 2007, date de la décision attaquée marquant la limite dans le temps du pouvoir d'examen de l'autorité de recours (ATF 129 V 4 consid. 2.1 et 121 V 366 consid. 1b).</w:t>
      </w:r>
    </w:p>
    <w:p>
      <w:r>
        <w:rPr>
          <w:b/>
        </w:rPr>
        <w:t>E. 4</w:t>
      </w:r>
    </w:p>
    <w:p>
      <w:r>
        <w:t>Selon les normes en vigueur durant la période soumise à l'examen de l'autorité de céans, tout requérant, pour avoir droit à une rente de l'assurance-invalidité suisse, doit remplir cumulativement les conditions suivantes, à savoir être invalide au sens de la LPGA et de la LAI (art. 8 al. 1 LPGA, 4, 28, 29 al. 1 LAI) et compter une année entière au moins de cotisations (art. 36 al. 1 LAI). Le recourant a versé des cotisations à l'AVS/AI pendant plus d'une année au total et remplit donc la condition de la durée minimale de cotisations. Il reste à examiner si et dans quelle mesure il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l'ALCP, la restriction prévue à l'art. 28 al. 1ter LAI - selon laquelle les rentes correspondant à un taux d'invalidité inférieur à 50% ne sont versées qu'aux assurés qui ont leur domicile et leur résidence habituelle en Suisse (art. 13 LPGA) - n'est plus applicable lorsque l'assuré est citoyen suisse ou ressortissant de l'UE et réside dans un Etat membre dans le sens de cet accord (ATF 130 V 253 consid. 3.1).</w:t>
      </w:r>
    </w:p>
    <w:p>
      <w:r>
        <w:rPr>
          <w:b/>
        </w:rPr>
        <w:t>E. 5.3</w:t>
      </w:r>
    </w:p>
    <w:p>
      <w:r>
        <w:t>La notion d'invalidité, dont il est question à l'art. 8 LPGA et à l'art. 4 LAI, est de nature juridique/économique et non pas médicale (ATF 116 V 246 consid. 1b). En d'autres termes, l'assurance-invalidité suisse couvre uniquement les pertes économiques liées à une atteinte à la santé physique ou psychique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consid. 2, 114 V 314 consid. 3c, 105 V 158 consid. 1; RCC 1991 p. 331 consid. 1c).</w:t>
      </w:r>
    </w:p>
    <w:p>
      <w:r>
        <w:rPr>
          <w:b/>
        </w:rPr>
        <w:t>E. 5.4</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22 consid. 2; 99 V 99; 96 V 44). Une incapacité de travail de 20% doit être prise en compte pour le calcul de l'incapacité de travail moyenne selon l'art. 29 al. 1 let. b LAI (cf. chiffre marginal 2010 de la Circulaire concernant l'invalidité et l'impotence; Jurisprudence et pratique administrative des autorités d'exécution de l'AVS/AI [Pratique VSI] 1998 p. 126 consid. 3c).</w:t>
      </w:r>
    </w:p>
    <w:p>
      <w:r>
        <w:rPr>
          <w:b/>
        </w:rPr>
        <w:t>E. 6.1</w:t>
      </w:r>
    </w:p>
    <w:p>
      <w:r>
        <w:t>Il résulte du dossier que l'assuré a travaillé en dernier lieu auprès de l'entreprise X._______, S.L., à C._______, en qualité de chauffeur/conducteur de bétonnière depuis le 28 mars 1989 et qu'il y a exercé son activité à temps complet, soit 40 heures hebdomadaires, jusqu'au 12 octobre 2005 pour un salaire annuel de ? 15'120.--. Selon les indications données par l'ancien employeur dans le questionnaire ad hoc, l'environnement professionnel était marqué par le bruit, l'agitation et la poussière. L'assuré toutefois, jusqu'à la date mentionnée, n'a pas eu à subir de réduction du temps de travail, d'attribution d'un travail plus facile ou de diminution de salaire. C'est néanmoins pour des raisons de santé qu'il a interrompu son activité dès le 12 octobre 2005 jusqu'au 11 octobre 2006 et à partir du 7 novembre 2006. Dans ces circonstances, c'est sur la base de la documentation médicale au dossier qu'il convient d'examiner l'évolution de sa capacité de travail résiduelle après la cessation de l'activité effective en octobre 2005 (voir aussi consid. 3 al. 2 ci-dessus).</w:t>
      </w:r>
    </w:p>
    <w:p>
      <w:r>
        <w:rPr>
          <w:b/>
        </w:rPr>
        <w:t>E. 6.2</w:t>
      </w:r>
    </w:p>
    <w:p>
      <w:r>
        <w:t>Il est établi que le recourant présente une ostéoarthrose acromio-claviculaire légère à modérée à droite, une légère tendinopathie de la coiffe des rotateurs ainsi que des troubles dégénératifs de la colonne vertébrale. Dans son recours, l'assuré allègue par ailleurs suivre un traitement ambulatoire psychiatrique depuis le 28 novembre 2006 pour un trouble mixte anxio-dépressif. Le caractère labile de ces atteintes, susceptibles d'évoluer, ne faisant pas de doute en l'espèce, la lettre a de l'art. 29 al. 1 LAI est inapplicable (cf. notamment ATF 121 V 264, 111 V 21 consid. 2b). Seule peut entrer en considération la lettre b de l'art. 29 al. 1 LAI qui prévoit une période d'attente d'une année à partir du début de l'incapacité de travail relevante pour la détermination du début du droit à la rente.</w:t>
      </w:r>
    </w:p>
    <w:p>
      <w:r>
        <w:rPr>
          <w:b/>
        </w:rPr>
        <w:t>E. 6.3</w:t>
      </w:r>
    </w:p>
    <w:p>
      <w:r>
        <w:t>Quant à l'influence des pathologies décrites sur la capacité de travail de l'assuré, force est de constater que le rapport médical de la sécurité sociale espagnole, bien que mentionnant déjà la prise d'un anxiolytique (le soir) ainsi que d'un antalgique (selon besoin), conclut à une capacité de travail entière dans l'activité habituelle de chauffeur de camion/bétonnière ainsi que dans toute activité moyenne, à condition d'éviter la manipulation de charges et le maintien des bras au-dessus de l'horizontale. Le service médical de l'OAIE (Dr Y._______) de son côté adhère totalement à cette appréciation et constate que l'assuré ne présente aucune atteinte incompatible avec son travail. Il relève notamment que les plaintes subjectives ne sont pas corroborées par la documentation radiologique, IRM épaule et lombaire, excluant dès lors une incapacité de travail médicalement justifiée.</w:t>
      </w:r>
    </w:p>
    <w:p>
      <w:r>
        <w:rPr>
          <w:b/>
        </w:rPr>
        <w:t>E. 6.4</w:t>
      </w:r>
    </w:p>
    <w:p>
      <w:r>
        <w:t>En l'espèce, concernant la période à examiner jusqu'à la date de la décision litigieuse du 12 juin 2007, l'autorité de céans n'a pas de motifs de s'écarter des conclusions concordantes du médecin inspecteur de la sécurité sociale espagnole et du service médical de l'autorité inférieure, fondées sur une analyse attentive des données médicales et résultats d'examens objectifs au dossier. Ainsi, se référant aux rapports IRM, le médecin de l'INSS a qualifié l'ostéoarthrose acromio-claviculaire de discrète à modérée et la tendinopathie au niveau de la coiffe des rotateurs de légère, alors qu'au niveau lombaire - mis à part des signes de spondylose - il n'a pas noté d'autres altérations significatives. Quant à la fonctionnalité, le rapport médical du 24 juillet 2006 (E 213) ne mentionne qu'une légère limitation au niveau de la colonne cervicale et une flexion-extension acceptable au niveau de la colonne lombaire avec une distance doigts-sol de seulement 10cm, sans signes cliniques d'une affection radiculaire. Il est relevé en outre la présence d'une importante musculature de la ceinture scapulaire, une balance articulaire conservée au niveau de l'épaule droite (côté dominant) et, au niveau de l'épaule gauche, une abduction de 120° avec une rotation interne quelque peu diminuée. La mobilité (force et tonus) est décrite comme normale, la marche s'effectuant avec une légère flexion du tronc. Eu égard à ce qui précède, force est pour l'autorité de céans d'admettre en accord avec l'autorité inférieure que, durant la période soumise à l'appréciation du Tribunal (cf. consid. 3, 2ème alinéa), l'assuré n'a pas subi d'invalidité au sens des dispositions légales en vigueur, les atteintes qu'il présente n'ayant en effet aucune influence significative sur sa capacité de travail dans sa profession habituelle. A cet égard, il convient de préciser que le simple fait d'être suivi auprès du centre régional de la santé en consultation psychiatrique ambulatoire n'autorise pas d'autre conclusion. Dans ce contexte, il est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avec les références). Le fait que l'assuré n'ait pas mis en valeur sa capacité résiduelle de travail pour des raisons étrangères à l'invalidité ne relève pas de l'assurance-invalidité, car il s'agit là de facteurs qui ne sont pas liés à l'invalidité et que l'AI n'est pas tenue de prendre en charge (RCC 1991 p. 329 consid. 3c). En effet, des facteurs tels que la formation professionnelle, l'âge ou un arrêt de travail prolongé, ne constituent pas de circonstances supplémentaires propres d'influencer l'étendue de l'invalidité (VSI 1999 p. 247 consid. 1 et réf. cit.). Il convient dès lors de conclure que l'assuré, depuis la cessation effective de travail dès le 13 octobre 2005, n'a pas présenté d'incapacité de travail relevante dans son activité habituelle de chauffeur/conducteur de bétonnière durant une année au moins (cf. consid. 5.4) et aurait été en mesure de continuer à exercer son activité, médicalement exigible, dans une mesure suffisante pour exclure le droit à une rente.</w:t>
      </w:r>
    </w:p>
    <w:p>
      <w:r>
        <w:rPr>
          <w:b/>
        </w:rPr>
        <w:t>E. 7</w:t>
      </w:r>
    </w:p>
    <w:p>
      <w:r>
        <w:t>Le recourant, qui succombe, devra payer l'émolument judiciaire relatif à la procédure fédérale et fixé à Fr. 400.-- (art. 63 al. 1 et al. 5 PA en relation avec l'art. 16 al. 1 let. a LTAF ainsi qu'avec les art. 1ss du règlement du 11 décembre 2006 concernant les frais, dépens et indemnités fixés par le Tribunal administratif fédéral [FITAF, RS 173.320.2]). Cet émolument est compensé par l'avance de frais, d'un même montant. Quant à l'autorité inférieure, il n'y a pas lieu de lui allouer des dépens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