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C-4793/2018 vom 11. September 2018</w:t>
      </w:r>
    </w:p>
    <w:p>
      <w:r>
        <w:t>Bundesverwaltungsgericht, 2018-09-11, DE</w:t>
      </w:r>
    </w:p>
    <w:p>
      <w:r>
        <w:rPr>
          <w:b/>
        </w:rPr>
        <w:t xml:space="preserve">Quelle: </w:t>
      </w:r>
      <w:r>
        <w:t>https://mcp.opencaselaw.ch/entscheid/bvger_C-4793_2018</w:t>
      </w:r>
    </w:p>
    <w:p>
      <w:r>
        <w:t>FR: TAF C-4793/2018 du 11 septembre 2018</w:t>
      </w:r>
    </w:p>
    <w:p>
      <w:r>
        <w:t>IT: TAF C-4793/2018 del 11 settembre 2018</w:t>
      </w:r>
    </w:p>
    <w:p>
      <w:pPr>
        <w:pStyle w:val="Heading2"/>
      </w:pPr>
      <w:r>
        <w:t>Regeste</w:t>
      </w:r>
    </w:p>
    <w:p>
      <w:r>
        <w:t>Rentenrevision</w:t>
      </w:r>
    </w:p>
    <w:p>
      <w:pPr>
        <w:pStyle w:val="Heading2"/>
      </w:pPr>
      <w:r>
        <w:t>Erwägungen</w:t>
      </w:r>
    </w:p>
    <w:p>
      <w:r>
        <w:rPr>
          <w:b/>
        </w:rPr>
        <w:t>E. 1</w:t>
      </w:r>
    </w:p>
    <w:p>
      <w:r>
        <w:t>Die Kosten für das Verfahren C-2278/2015 von Fr. 400.- werden der Beschwerdeführerin auferlegt. Sie werden dem in gleicher Höhe geleisteten Kostenvorschuss entnommen.</w:t>
      </w:r>
    </w:p>
    <w:p>
      <w:r>
        <w:rPr>
          <w:b/>
        </w:rPr>
        <w:t>E. 2</w:t>
      </w:r>
    </w:p>
    <w:p>
      <w:r>
        <w:t>Für das Verfahren C-2278/2015 wird keine Parteientschädigung zugesprochen.</w:t>
      </w:r>
    </w:p>
    <w:p>
      <w:r>
        <w:rPr>
          <w:b/>
        </w:rPr>
        <w:t>E. 3</w:t>
      </w:r>
    </w:p>
    <w:p>
      <w:r>
        <w:t>Dieses Urteil geht an: - die Beschwerdeführerin (Gerichtsurkunde) - die Vorinstanz (Ref-Nr. _______)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