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C-4793/2013 vom 23. April 2014</w:t>
      </w:r>
    </w:p>
    <w:p>
      <w:r>
        <w:t>Bundesverwaltungsgericht, 2014-04-23, DE</w:t>
      </w:r>
    </w:p>
    <w:p>
      <w:r>
        <w:rPr>
          <w:b/>
        </w:rPr>
        <w:t xml:space="preserve">Quelle: </w:t>
      </w:r>
      <w:r>
        <w:t>https://mcp.opencaselaw.ch/entscheid/bvger_C-4793_2013</w:t>
      </w:r>
    </w:p>
    <w:p>
      <w:r>
        <w:t>FR: TAF C-4793/2013 du 23 avril 2014</w:t>
      </w:r>
    </w:p>
    <w:p>
      <w:r>
        <w:t>IT: TAF C-4793/2013 del 23 aprile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In formeller Hinsicht rügt der Parteivertreter, die Vorinstanz habe ein Einreiseverbot mit der maximalen Dauer von fünf Jahren gemäss Art. 67 Abs. 4 AuG verfügt, diese Maximaldauer aber mit keinem Wort begründet. Damit erhebt er implizit die Rüge der Verletzung der Begründungspflicht.</w:t>
      </w:r>
    </w:p>
    <w:p>
      <w:r>
        <w:rPr>
          <w:b/>
        </w:rPr>
        <w:t>E. 3.1</w:t>
      </w:r>
    </w:p>
    <w:p>
      <w:r>
        <w:t>Gemäss Art. 35 Abs. 1 VwVG sind die Behörden verpflichtet, ihren Entscheid zu begründen. Die Begründungspflicht ist Teilgehalt des Anspruchs auf rechtliches Gehör im Sinne von Art. 29 Abs. 2 BV.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S. 270 f.; BGE 133 I 270 E. 3.1 S. 277; BVGE 2009/35 E. 2.2.1; BVGE 2007/27 E. 5.5.2; ebenso Lorenz Kneubühler, in: Kommentar zum Bundesgesetz über das Verwaltungsverfahren [VwVG], 2008, Rz. 4 ff. und insb. Rz. 9 ff. zu Art. 35 VwVG).</w:t>
      </w:r>
    </w:p>
    <w:p>
      <w:r>
        <w:rPr>
          <w:b/>
        </w:rPr>
        <w:t>E. 3.2</w:t>
      </w:r>
    </w:p>
    <w:p>
      <w:r>
        <w:t>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 a.a.O., Rz. 19 ff. zu Art. 35 VwVG mit Hinweisen).</w:t>
      </w:r>
    </w:p>
    <w:p>
      <w:r>
        <w:rPr>
          <w:b/>
        </w:rPr>
        <w:t>E. 3.3</w:t>
      </w:r>
    </w:p>
    <w:p>
      <w:r>
        <w:t>Die Begründung der angefochtenen Verfügung ist in der Tat eher summarisch gehalten. Mit der Nennung der gravierendsten strafrechtlichen Verurteilung sowie den Hinweisen auf die bestehenden Betreibungen und Verlustscheine hat die Vorinstanz im Ansatz aber konkretisiert, warum der Beschwerdeführer gegen die öffentliche Sicherheit und Ordnung verstossen hat und diese in ihren Augen nach wie vor gefährdet. Ebenso lässt sich der Begründung entnehmen, dass eine Interessenabwägung zwischen dem öffentlichen Interesse an einem Einreisebot einerseits und den geltend gemachten privaten Interessen andererseits stattgefunden hat, wenn auch in sprachlich nicht eben geglückter Ausdrucksform. Dies erweist sich im dargelegten Kontext, zusammen mit den Erläuterungen in der Vernehmlassung, als ausreichend. Klarzustellen wäre an dieser Stelle, dass das BFM entgegen der Auffassung des Rechtsvertreters vorliegend nicht die maximale Dauer ausgeschöpft hat. Gemäss Art. 67 Abs. 3 zweiter Satz AuG kann das Einreiseverbot nämlich auch für länger als fünf Jahre verfügt werden, sofern die betroffene Person eine schwerwiegende Gefahr für die öffentliche Sicherheit und Ordnung darstellt. In Bezug auf die Dauer der Massnahme bedurfte es insoweit nicht einer spezifizierteren Begründung. Der in diesem Zusammenhang in der Beschwerdeschrift vom 26. August 2013 angerufene Art. 67 Abs. 4 AuG bezieht sich derweil auf vom Bundesamt für Polizei (fedpol) verhängte Fernhaltemassnahmen und kann hier zum vornherein nicht herangezogen werden. Das BFM ist seiner Begründungspflicht demnach in (knapp) genügender Weise nachgekommen.</w:t>
      </w:r>
    </w:p>
    <w:p>
      <w:r>
        <w:rPr>
          <w:b/>
        </w:rPr>
        <w:t>E. 4</w:t>
      </w:r>
    </w:p>
    <w:p>
      <w:r>
        <w:t>Mit Inkrafttreten des AuG am 1. Januar 2008 wurde das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Allgemeines Verwaltungsrecht, 6. Aufl. 2010, Rz. 337 ff.).</w:t>
      </w:r>
    </w:p>
    <w:p>
      <w:r>
        <w:rPr>
          <w:b/>
        </w:rPr>
        <w:t>E. 5.1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C-820/2009 vom 9. März 2011 E. 5.2 mit Hinweisen).</w:t>
      </w:r>
    </w:p>
    <w:p>
      <w:r>
        <w:rPr>
          <w:b/>
        </w:rPr>
        <w:t>E. 5.3</w:t>
      </w:r>
    </w:p>
    <w:p>
      <w:r>
        <w:t>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6</w:t>
      </w:r>
    </w:p>
    <w:p>
      <w:r>
        <w:t>Aus den Akten geht hervor, dass der Beschwerdeführer immer wieder mit dem Gesetz in Konflikt kam. Zuletzt musste er wegen mehrfacher Veruntreuung, Anstiftung zur Drohung und mehrfacher Urkundenfälschung (Urteil des Obergerichts des Kantons Luzern vom 1. Dezember 2009) sowie wegen Beschäftigens von Ausländerinnen und Ausländern ohne Bewilligung (Strafverfügung des Amtsstatthalteramtes Luzern vom 2. Februar 2010) strafrechtlich zur Rechenschaft gezogen werden (siehe Sachverhalt Bst. B vorstehend). Die Voraussetzungen für die Verhängung eines Einreiseverbots gemäss Art. 67 Abs. 2 Bst. a AuG sind damit ohne Zweifel erfüllt. Ausserdem hat der Betroffene über einen längeren Zeitraum hinweg und in erheblichem Ausmass Schulden angehäuft und damit finanzielle Verpflichtungen - öffentlich- wie privatrechtlicher Natur - nicht erfüllt. Das Bundesgericht wertet das Nichtbezahlen von Schulden, wenn diese wie vorliegend einen bedeutenden Umfang erreichen, als einen Verstoss gegen die öffentliche Ordnung (vgl. etwa BGE 122 II 385 E. 3b S. 390 f. oder das in dieser Angelegenheit im Aufenthaltsverfahren ergangene Urteil des Bundesgerichts 2C_1128/2012 vom 3. Juni 2013 E. 2.3 mit Hinweis). Der Beschwerdeführer hat demnach auch unter diesem Blickwinkel Gründe für die Verhängung einer Fernhaltemassnahme nach Art. 67 Abs. 2 Bst. a AuG gesetzt. Der Parteivertreter, der für seinen Mandanten lediglich eine Befristung der Massnahme auf höchstens zwei Jahre verlangt, scheint dies zumindest dem Grundsatze nach zu anerkennen.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7.2</w:t>
      </w:r>
    </w:p>
    <w:p>
      <w:r>
        <w:t>Wie angetönt, hat der Beschwerdeführer wiederholt und zum Teil nicht unerheblich gegen strafrechtliche und weitere gesetzliche Vorschriften verstossen. Der Missachtung solcher Normen kommt im Interesse einer funktionierenden Rechtsordnung eine zentrale Bedeutung zu. Das Fehlverhalten des Betroffenen wiegt angesichts der Anzahl sowie der Art von einzelnen dieser Delikte (z.B. mehrfache Veruntreuung, wiederholte Urkundenfälschung und mehrmaliges Führen eines Personenwagens in angetrunkenem Zustand) denn objektiv nicht leicht. Namentlich das generalpräventiv motivierte Interesse, die gesetzliche Ordnung durch eine konsequente Massnahmepraxis gegenüber ausländischen Personen zu schützen, ist in diesem Zusammenhang als gewichtig zu betrachten (zur Zulässigkeit der Berücksichtigung generalpräventiver Aspekte in Konstellationen, in denen wie hier kein sogenannter Vertragsausländer betroffen ist, vgl. Urteil des Bundesgerichts 2C_282/2012 vom 31. Juli 2012 E. 2.5 mit Hinweisen).</w:t>
      </w:r>
    </w:p>
    <w:p>
      <w:r>
        <w:rPr>
          <w:b/>
        </w:rPr>
        <w:t>E. 7.3</w:t>
      </w:r>
    </w:p>
    <w:p>
      <w:r>
        <w:t>Auch in subjektiver Hinsicht ist das massnahmeauslösende Fehlverhalten des Beschwerdeführers, insbesondere mit Blick auf die gravierendste Verurteilung vom 1. Dezember 2009, alles andere als leicht zu taxieren. Aufgrund der Deliktsintensität über mehrere Jahre hinweg ging das Obergericht des Kantons Luzern im diesbezüglichen Strafurteil, das eine bedingte Freiheitsstrafe von 18 Monaten und drei Wochen nach sich zog, von einem erheblichen Verschulden aus. Erschwerend kommt die jahrelange Vernachlässigung finanzieller Verpflichtungen in beträchtlichem Ausmass hinzu. Überdies liegt eine spezialpräventive Zielsetzung einer Fernhaltemassnahme darin, dass sie den Betroffenen ermahnt, bei einer allfälligen künftigen Wiedereinreise in die Schweiz nach Ablauf der Dauer des Einreiseverbots die für ihn geltenden Regeln einzuhalten (vgl. hierzu etwa Urteil des BVGer C-2771/2010 vom 3. Februar 2012 E. 6.1). Angesichts dessen ist dem öffentlichen Interesse an einer längeren, zeitlich befristeten Fernhaltung grosses Gewicht beizumessen.</w:t>
      </w:r>
    </w:p>
    <w:p>
      <w:r>
        <w:rPr>
          <w:b/>
        </w:rPr>
        <w:t>E. 7.4</w:t>
      </w:r>
    </w:p>
    <w:p>
      <w:r>
        <w:t>Was auf Beschwerdeebene dagegen vorgebracht wird, ändert daran nichts. So kommt dem Umstand, dass das Obergericht des Kantons Luzern den Vollzug der Freiheitsstrafe von 18 Monaten und drei Wochen bedingt erliess, nicht die Bedeutung zu, welche ihm der Parteivertreter beimisst. Strafrechtliche Sanktionen und migrationsrechtliche Massnahmen verfolgen unterschiedliche Ziele und Zwecke (vgl. dazu BGE 130 II 493 E. 4.2 S. 500 f.). Vor dem Hintergrund der vorzunehmenden umfassenden Interessenabwägung kommt der Migrationsbehörde ein im Vergleich zu den Straf- und Strafvollzugsbehörden strengerer Beurteilungsmassstab zu (vgl. BGE 120 Ib 129 E. 5b S. 132). Abgesehen davon schliessen die Strafjustizbehörden bei der Gewährung des bedingten Strafvollzugs durch die Bestimmung einer Probezeit nicht jegliche Rückfallgefahr aus (siehe Urteil des BVGer C-4620/2011 vom 12. März 2013 E. 7.3).</w:t>
      </w:r>
    </w:p>
    <w:p>
      <w:r>
        <w:rPr>
          <w:b/>
        </w:rPr>
        <w:t>E. 7.5</w:t>
      </w:r>
    </w:p>
    <w:p>
      <w:r>
        <w:t>Auch das seitherige Wohlverhalten des Beschwerdeführers und den daraus gezogenen Schluss, es bestehe kein Anlass, von künftigen Delikten auszugehen, gilt es in mehrfacher Hinsicht zu relativieren. So hat der Betroffene über eine lange Periode hinweg - ohne Rücksicht auf erfolgte (bedingte) Geld- oder Freiheitsstrafen bzw. Bussen - regelmässig weiterdelinquiert. Die Verwarnungen der kantonalen Migrationsbehörde und das stabile familiäre Umfeld liessen ihn hierbei unbeeindruckt. Die Delinquenz wurde nach den strafgerichtlichen Feststellungen in einem Fall (Anstiftung zur Drohung) sogar während der laufenden Strafuntersuchung und nach der Haftentlassung aufrecht erhalten (siehe auch das in dieser Angelegenheit im Aufenthaltsverfahren ergangene Urteil des Bundesgerichts 2C_1128/2012 vom 3. Juni 2013 E. 2.2). Deliktsfrei lebt der Beschwerdeführer gemäss dem nachgereichten Strafregisterauszug erst seit dem 26. November 2008. Der fragliche Zeitraum erscheint - verglichen mit dem bisherigen deliktischen Verhalten - als zu kurz bemessen, um annehmen zu können, der Beschwerdeführer werde sich künftig an die geltende Rechtsordnung halten. Die Probezeit lief im Übrigen erst vor wenigen Monaten ab. Kein entlastendes Argument stellt im vorliegenden Zusammenhang sodann die Tatsache dar, dass der Beschwerdeführer weder ein Verbrechen gegen Leib und Leben noch Verstösse gegen das Betäubungsmittelgesetz begangen hat, verhängte das BFM doch kein Einreiseverbot von mehr als fünf Jahren. Dementsprechend ging es auch nicht von einer qualifizierten Gefahrenlage im Sinne von Art. 67 Abs. 3 zweiter Satz AuG aus (siehe dazu ergänzend E. 3.3 weiter vorne). Nicht günstiger präsentieren sich die finanziellen Perspektiven, erscheint eine Befriedigung der Gläubiger in der Schweiz angesichts der enormen Höhe der hierzulande angehäuften Schulden sowie der trotz gewisser Abzahlungsbemühungen wenig verheissungsvollen Entwicklung der diesbezüglichen Ausstände über all die Jahre hinweg (schwankend und ohne erkennbare positive Trendwende) doch so oder so unrealistisch. Es genügt an dieser Stelle der Verweis auf die Akten der kantonalen Migrationsbehörde. Sowohl aus general- wie aus spezialpräventiven Überlegungen besteht mithin ein erhebliches öffentliches Interesse, den Beschwerdeführer mit einem Einreiseverbot von der verhängten Dauer zu belegen.</w:t>
      </w:r>
    </w:p>
    <w:p>
      <w:r>
        <w:rPr>
          <w:b/>
        </w:rPr>
        <w:t>E. 8</w:t>
      </w:r>
    </w:p>
    <w:p>
      <w:r>
        <w:t>An persönlichen Interessen bringt der Beschwerdeführer vor, seine Gattin sowie die beiden Söhne lebten (mit Niederlassungsbewilligungen) in der Schweiz. Ausserdem verweist er auf den Voraufenthalt und seine angeblich gute Integration hierzulande.</w:t>
      </w:r>
    </w:p>
    <w:p>
      <w:r>
        <w:rPr>
          <w:b/>
        </w:rPr>
        <w:t>E. 8.1</w:t>
      </w:r>
    </w:p>
    <w:p>
      <w:r>
        <w:t>Wie vom BFM in der Vernehmlassung angetönt, ist ein Zusammenleben der Familie hier nicht erst durch die verhängte Fernhaltemassnahme, sondern in erster Linie durch die Nichtverlängerung der Aufenthaltsbewilligung verunmöglicht. Allfällige Einschränkungen des Privat- bzw. Familienlebens können im vorliegenden Zusammenhang aufgrund sachlicher und funktioneller Unzuständigkeit des Bundesverwaltungsgerichts nämlich nicht Verfahrensgegenstand sein, soweit sie auf das Fehlen eines dauerhaften Aufenthaltsrechts in der Schweiz zurückzuführen sind. Die Erteilung und Verlängerung von Aufenthaltsbewilligungen fällt grundsätzlich in die Zuständigkeit der Kantone, wobei im Falle einer Bewilligungserteilung das bestehende Einreiseverbot aufzuheben wäre. Die kantonale Migrationsbehörde hat es am 20. Juni 2011 abgelehnt, die Aufenthaltsbewilligung des Beschwerdeführers zu verlängern (letztinstanzlich bestätigt durch das Urteil des Bundesgerichts vom 3. Juni 2013). Die Pflege regelmässiger Kontakte zu den engsten Familienangehörigen in der Schweiz scheitert damit bereits am fehlenden Anwesenheitsrecht (zum Ganzen vgl. BVGE 2013/4 E. 7.4.1 mit Hinweisen). Abgesehen davon sind die beiden Söhne inzwischen volljährig, weshalb eine Berufung auf den Schutz des Familienlebens in dieser Hinsicht ohnehin entfiele. Im Aufenthaltsverfahren abgehandelt wurden ferner die Aspekte des Voraufenthalts und der Integration; sie bilden ebenfalls nicht Verfahrensgegen-stand.</w:t>
      </w:r>
    </w:p>
    <w:p>
      <w:r>
        <w:rPr>
          <w:b/>
        </w:rPr>
        <w:t>E. 8.2</w:t>
      </w:r>
    </w:p>
    <w:p>
      <w:r>
        <w:t>Eine weitere Milderung der mit der angefochtenen Verfügung verbundenen Einschränkungen ergibt sich daraus, dass die Wirkungen des Einreiseverbots nicht darin bestehen, dem Beschwerdeführer während der Geltungsdauer der Massnahme Besuchsaufenthalte bei ihm nahe stehenden Personen in der Schweiz schlichtweg zu untersagen. Es steht ihm vielmehr die Möglichkeit offen, aus humanitären oder anderen wichtigen Gründen mittels Gesuch die zeitweilige Suspension der angeordneten Fernhaltemassnahme zu beantragen (Art. 67 Abs. 5 AuG). Die Suspension wird aber praxisgemäss nur für eine kurze und klar begrenzte Zeit gewährt (vgl. BVGE 2013/4 E. 7.4.3 mit Hinweis). Im dargelegten Umfang und Rahmen kann den geltend gemachten privaten Interessen Rechnung getragen werden. Daneben ist es der aus dem selben Kulturkreis stammenden Gattin und den zwei erwachsenen Söhnen zumutbar, den Beschwerdeführer im Heimatland zu besuchen und den Kontakt mittels Telefon und sonstiger Kommunikationsmittel (Videotelefonie, Briefverkehr, etc.) aufrecht zu erhalten.</w:t>
      </w:r>
    </w:p>
    <w:p>
      <w:r>
        <w:rPr>
          <w:b/>
        </w:rPr>
        <w:t>E. 9</w:t>
      </w:r>
    </w:p>
    <w:p>
      <w:r>
        <w:t>Eine wertende Gewichtung der sich gegenüberstehenden Interessen führt das Bundesverwaltungsgericht zum Schluss, dass das auf fünf Jahre befristete Einreiseverbot auch im gegenwärtigen Zeitpunkt unter Berücksichtigung der gängigen Praxis in vergleichbaren Fällen eine verhältnismässige und angemessene Massnahme zum Schutz der öffentlichen Sicherheit und Ordnung darstellt.</w:t>
      </w:r>
    </w:p>
    <w:p>
      <w:r>
        <w:rPr>
          <w:b/>
        </w:rPr>
        <w:t>E. 10</w:t>
      </w:r>
    </w:p>
    <w:p>
      <w:r>
        <w:t>Die Vorinstanz hat in der angefochtenen Verfügung ferner die Ausschreibung des Einreiseverbots im SIS angeordnet. 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11</w:t>
      </w:r>
    </w:p>
    <w:p>
      <w:r>
        <w:t>Aus diesen Erwägungen folgt, dass die angefochtene Verfügung im Lichte von Art. 49 VwVG nicht zu beanstanden ist. Die Beschwerde ist deshalb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