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C-4791/2012 vom 13. Juni 2014</w:t>
      </w:r>
    </w:p>
    <w:p>
      <w:r>
        <w:t>Bundesverwaltungsgericht, 2014-06-13, DE</w:t>
      </w:r>
    </w:p>
    <w:p>
      <w:r>
        <w:rPr>
          <w:b/>
        </w:rPr>
        <w:t xml:space="preserve">Quelle: </w:t>
      </w:r>
      <w:r>
        <w:t>https://mcp.opencaselaw.ch/entscheid/bvger_C-4791_2012</w:t>
      </w:r>
    </w:p>
    <w:p>
      <w:r>
        <w:t>FR: TAF C-4791/2012 du 13 juin 2014</w:t>
      </w:r>
    </w:p>
    <w:p>
      <w:r>
        <w:t>IT: TAF C-4791/2012 del 13 giugno 2014</w:t>
      </w:r>
    </w:p>
    <w:p>
      <w:pPr>
        <w:pStyle w:val="Heading2"/>
      </w:pPr>
      <w:r>
        <w:t>Regeste</w:t>
      </w:r>
    </w:p>
    <w:p>
      <w:r>
        <w:t>Zuständigkeit SUVA</w:t>
      </w:r>
    </w:p>
    <w:p>
      <w:pPr>
        <w:pStyle w:val="Heading2"/>
      </w:pPr>
      <w:r>
        <w:t>Erwägungen</w:t>
      </w:r>
    </w:p>
    <w:p>
      <w:r>
        <w:rPr>
          <w:b/>
        </w:rPr>
        <w:t>E. 1.1</w:t>
      </w:r>
    </w:p>
    <w:p>
      <w:r>
        <w:t>Das Bundesverwaltungsgericht ist gemäss Art. 109 Bst. a UVG in Verbindung mit Art. 31 ff. des Verwaltungsgerichtsgesetzes vom 17. Juni 2005 (VGG, SR 173.32) für die Beurteilung der vorliegenden Streitsache prinzipiell zuständig. Das Verfahren richtet sich grundsätzlich nach dem Bundesgesetz vom 20. Dezember 1968 über das Verwaltungsverfahren (VwVG, SR 172.021 [vgl. Art. 37 VGG]). Vorbehalten bleiben gemäss Art. 3 Bst. dbis VwVG die besonderen Bestimmungen des ATSG. Gemäss Art. 1 Abs. 1 UVG sind die Bestimmungen des ATSG auf die Unfallversicherung anwendbar, soweit das vorliegende Gesetz nicht ausdrücklich eine Abweichung vom ATSG vorsieht; eine Ausnahme gemäss Art. 1 Abs. 2 UVG ist vorliegend nicht gegeben.</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w:t>
      </w:r>
    </w:p>
    <w:p>
      <w:r>
        <w:t>Betreffend das Beschwerdeverfahren C-4791/2012 ist vorab zu prüfen, ob die A._______ beschwerdelegitimiert ist.</w:t>
      </w:r>
    </w:p>
    <w:p>
      <w:r>
        <w:rPr>
          <w:b/>
        </w:rPr>
        <w:t>E. 1.4.1</w:t>
      </w:r>
    </w:p>
    <w:p>
      <w:r>
        <w:t>Laut Art. 48 Abs. 1 Bst. a VwVG ist zur Beschwerde berechtigt, wer vor der Vorinstanz am Verfahren teilgenommen hat oder keine Möglichkeit zur Teilnahme erhalten hat.</w:t>
      </w:r>
    </w:p>
    <w:p>
      <w:r>
        <w:rPr>
          <w:b/>
        </w:rPr>
        <w:t>E. 1.4.1.1</w:t>
      </w:r>
    </w:p>
    <w:p>
      <w:r>
        <w:t>Unbestrittenermassen wurde die Beschwerdeführerin 1 von der Suva mit Schreiben vom 5. April 2012 eingeladen, zur Einsprache des Rechtsvertreters der B._______ vom 23. Dezember 2011 gegen die Verfügung vom 24. November 2011 Stellung zu nehmen (B-act. 1 Beilage 6 S. 4 [Originaldokument nicht in den Akten der vorliegenden Beschwerdeverfahren]). Nach Vorliegen der vom 4. Juni 2012 datierenden Stellungnahme, worin die A._______ an ihren Einsprachen vom 21. Dezember 2011 und den dort formulierten Anträgen vollumfänglich festgehalten hatte, erliess die Suva am 27. Juli 2012 den vorliegend angefochtenen Einspracheentscheid, mit welchem sie die Einsprache der B._______ vom 23. Dezember 2011 abgewiesen hat (BB 6).</w:t>
      </w:r>
    </w:p>
    <w:p>
      <w:r>
        <w:rPr>
          <w:b/>
        </w:rPr>
        <w:t>E. 1.4.1.2</w:t>
      </w:r>
    </w:p>
    <w:p>
      <w:r>
        <w:t>Mit Blick auf die Geschehnisse im vorinstanzlichen Verfahren - unter anderem die Aufforderung der Beschwerdeführerin 1 zur Stellungnahme betreffend Einsprache der B._______ vom 23. Dezember 2011 und den Erlass des Nichteintretensentscheids vom 27. Juli 2012 - ist ohne weiteres davon auszugehen, dass die A._______ vor der Suva am Verfahren teilgenommen hat; die Beschwerdelegitimationsvoraussetzung gemäss Art. 48 Abs. 1 Bst. a VwVG ist somit erfüllt.</w:t>
      </w:r>
    </w:p>
    <w:p>
      <w:r>
        <w:rPr>
          <w:b/>
        </w:rPr>
        <w:t>E. 1.4.2</w:t>
      </w:r>
    </w:p>
    <w:p>
      <w:r>
        <w:t>Weiter ist nachfolgend die Voraussetzung gemäss Art. 48 Abs. 1 Bst. b VwVG zu prüfen.</w:t>
      </w:r>
    </w:p>
    <w:p>
      <w:r>
        <w:rPr>
          <w:b/>
        </w:rPr>
        <w:t>E. 1.4.2.1</w:t>
      </w:r>
    </w:p>
    <w:p>
      <w:r>
        <w:t>Nebst der Teilnahme am vorinstanzlichen Verfahren laut Art. 48 Abs. 1 Bst. a VwVG muss die zur Beschwerde berechtigte Partei gemäss Art. 48 Abs. 1 Bst. b VwVG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w:t>
      </w:r>
    </w:p>
    <w:p>
      <w:r>
        <w:rPr>
          <w:b/>
        </w:rPr>
        <w:t>E. 1.4.2.2</w:t>
      </w:r>
    </w:p>
    <w:p>
      <w:r>
        <w:t>Die Rechtsstellung der Beschwerdeführerin 1 wird durch den angefochtenen Einspracheentscheid vom 27. Juli 2012 direkt beeinträchtigt. Es ist aktenkundig, dass sie im Rahmen des Submissionsverfahrens betreffend die Durchführung der obligatorischen Unfallversicherung der B._______ den Zuschlag erhalten hat und der entsprechende Antrag vom Direktor der B._______ und vom Geschäftsführer der F._______ am 29. November 2011 unterzeichnet und gleichentags von diesen der A._______ übermittelt worden war (B-act. 18 Beilage 1). Die Beschwerdeführerin als Gewinnerin der Ausschreibung ist durch die Unterstellungsverfügung der Suva vom 24. November 2011 in besonderer Weise und stärker betroffen als andere Versicherer, welche an der Ausschreibung überhaupt nicht teilgenommen oder den Zuschlag nicht erhalten haben. Darüber hinaus kann sie aufgrund der vorliegenden Umstände im Zusammenhang mit dem Submissionsverfahren eine spezifische, beachtenswerte und besonders nahe Beziehung zur Streitsache für sich in Anspruch nehmen (vgl. Vera Marantelli-Sonanini/Said Huber, a.a.O., N. 10 mit Hinweisen.</w:t>
      </w:r>
    </w:p>
    <w:p>
      <w:r>
        <w:rPr>
          <w:b/>
        </w:rPr>
        <w:t>E. 1.4.2.3</w:t>
      </w:r>
    </w:p>
    <w:p>
      <w:r>
        <w:t>Nach dem Dargelegten ergibt sich, dass auch die Beschwerdelegitimationsvoraussetzung von Art. 48 Abs. 1 Bst. b VwVG erfüllt ist.</w:t>
      </w:r>
    </w:p>
    <w:p>
      <w:r>
        <w:rPr>
          <w:b/>
        </w:rPr>
        <w:t>E. 1.4.3</w:t>
      </w:r>
    </w:p>
    <w:p>
      <w:r>
        <w:t>Nachfolgend ist in einem weiteren Schritt zu prüfen, ob die Beschwerdeführerin gemäss Art. 48 Abs. 1 Bst. c VwVG ein schutzwürdiges Interesse an der Aufhebung des angefochtenen Einspracheentscheids vom 27. Juli 2012 hat.</w:t>
      </w:r>
    </w:p>
    <w:p>
      <w:r>
        <w:rPr>
          <w:b/>
        </w:rPr>
        <w:t>E. 1.4.3.1</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(resp. Einspracheentscheid)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w:t>
      </w:r>
    </w:p>
    <w:p>
      <w:r>
        <w:rPr>
          <w:b/>
        </w:rPr>
        <w:t>E. 1.4.3.2</w:t>
      </w:r>
    </w:p>
    <w:p>
      <w:r>
        <w:t>Dem Erfordernis, dass die Beschwerde führende Person durch die Verfügung stärker als jedermann betroffen ist und in einer besonderen, beachtenswerten, nahen Beziehung zur Streitsache steht (vgl. BGE 133 V 188 E. 4.3.1 und 131 V 362 E. 2.1 mit Hinweisen; SVR 2009 BVG Nr. 27 S. 98 E. 2.2), kommt dann eine ganz besondere Bedeutung zu, wenn nicht der Verfügungsadressat im materiellen Sinn, sondern ein Dritter den Entscheid anficht (BGE 127 V 80 E. 3a aa mit Hinweisen). Hier haben die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hat oder - wie oben bereits dargelegt - eine spezifische, besonders nahe Beziehung zur Streitsache für sich in Anspruch nehmen kann. Das allgemeine Interesse an der richtigen Auslegung und Durchsetzung des Bundesrechts genügt nicht (BGE 133 V 188 E. 4.3.3 mit Hinweisen).</w:t>
      </w:r>
    </w:p>
    <w:p>
      <w:r>
        <w:rPr>
          <w:b/>
        </w:rPr>
        <w:t>E. 1.4.3.3</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gegenstandslos geworden abgeschrieben.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1.4.3.4</w:t>
      </w:r>
    </w:p>
    <w:p>
      <w:r>
        <w:t>Vorliegend richtet sich die Beschwerde gegen den Einspracheentscheid vom 27. Juli 2012, mit welchem die Suva die Einsprache der B._______ vom 23. Dezember 2011 gegen die Verfügung der Suva vom 24. November 2011 abgewiesen hat. Vorliegend kann die Beschwerdeführerin 1 eine spezifische, beachtenswerte, besonders nahe Beziehung zur Streitsache für sich in Anspruch nehmen. Mit Blick auf den Zuschlag und die Unterzeichnung des Antrags durch die F._______, die durch die behauptete vorgehende gesetzliche Versicherungspflicht bei der Suva wirkungslos werden, hat die Beschwerdeführerin vorliegend ein unmittelbares, konkretes und auch im Zeitpunkt der Urteilsfällung noch bestehendes Rechtsschutzinteresse an der Aufhebung oder Änderung des die Verfügung vom 24. November 2011 bestätigenden Einspracheentscheids vom 27. Juli 2012. Somit ist auch die Beschwerdelegitimationsvoraus-setzung des schutzwürdigen Interesses laut Art. 48 Abs. 1 Bst. c VwVG erfüllt.</w:t>
      </w:r>
    </w:p>
    <w:p>
      <w:r>
        <w:rPr>
          <w:b/>
        </w:rPr>
        <w:t>E. 1.4.4</w:t>
      </w:r>
    </w:p>
    <w:p>
      <w:r>
        <w:t>Aufgrund der vorstehenden Erwägungen ergibt sich betreffend die Beschwerdelegitimation der A._______, dass sämtliche Beschwerdelegitimationsvoraussetzungen von Art. 48 Abs. 1 Bst. a bis c VwVG erfüllt sind. Da die Beschwerdeführerin 1 überdies frist- und formgerecht Beschwerde erhoben (vgl. Art. 22a in Verbindung mit Art. 50 Abs. 1 und Art. 52 Abs. 1 VwVG) und den Kostenvorschuss in der Höhe von Fr. 2'000.- fristgerecht geleistet hat, sind sämtliche Prozessvoraussetzungen erfüllt. Auf die Beschwerde der A._______ ist daher grundsätzlich einzutreten.</w:t>
      </w:r>
    </w:p>
    <w:p>
      <w:r>
        <w:rPr>
          <w:b/>
        </w:rPr>
        <w:t>E. 1.5</w:t>
      </w:r>
    </w:p>
    <w:p>
      <w:r>
        <w:t>Betreffend das Beschwerdeverfahren C-4833/2012 ist festzuhalten, dass mit dem Einspracheentscheid vom 27. Juli 2012 Rechte und Pflichte der B._______ geregelt werden. Diese haben als Partei am vorinstanzlichen Verfahren teilgenommen, sind durch den angefochtenen Entscheid vom 27. Juli 2012 be­sonders berührt und haben an dessen Aufhebung ein schutzwürdiges Interesse (vgl. Art. 48 Abs. 1 Bst. a bis c VwVG). Nachdem auch der Kostenvorschuss von Fr. 2'000.- innert Frist geleistet worden ist, ist auf die frist- und formgerecht (vgl. Art. 22a in Verbindung mit Art. 50 Abs. 1 und Art. 52 Abs. 1 VwVG) eingereichte Beschwerde der B._______ ebenfalls grundsätzlich einzutreten.</w:t>
      </w:r>
    </w:p>
    <w:p>
      <w:r>
        <w:rPr>
          <w:b/>
        </w:rPr>
        <w:t>E. 1.6.1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mangels näherer Konkretisierung in Art. 49 Abs. 1 ATSG nach Massgabe von Art. 5 VwVG (BGE 130 V 388 E. 2.3).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Bezieht sich also die Beschwerde nur auf einzelne der durch die Verfügung bestimmten Rechtsverhältnisse, gehören die nicht beanstandeten - verfügungsweise festgelegten - Rechtsverhältnisse zwar wohl zum Anfechtungs-, aber nicht zum Streitgegenstand (vgl. BGE 125 V 413 E. 2a).</w:t>
      </w:r>
    </w:p>
    <w:p>
      <w:r>
        <w:rPr>
          <w:b/>
        </w:rPr>
        <w:t>E. 1.6.2</w:t>
      </w:r>
    </w:p>
    <w:p>
      <w:r>
        <w:t>Anfechtungsobjekt bildet der Einspracheentscheid der Suva vom 27. Juli 2012, mit welchem das Verwaltungsverfahren abgeschlossen wurde. Da durch diesen Entscheid die Verfügung vom 24. November 2011 - auch ohne explizite Bestätigung dieser Verfügung - ersetzt worden ist (vgl. zum Ganzen BGE 132 V 368 E. 6.1 mit Hinweisen; vgl. auch Kieser, ATSG-Kommentar, Rz. 39 zu Art. 52 ATSG), kann auf das Rechtsbegehren der Beschwerdeführerin 1, es sei diese Verfügung aufzuheben (vgl. Bst. D. hiervor), mangels Vorliegens eines Anfechtungsobjekts und somit einer Sachurteilsvoraussetzung nicht eingetreten werden (vgl. BGE 131 V 164 E. 2.1; SVR 2011 UV Nr. 4 S. 13 E. 2.1). Streitig und zu prüfen ist, ob dieser Entscheid rechtmässig ergangen ist und in diesem Zusammenhang insbesondere, ob die per 1. Januar 2012 erfolgte Umwandlung der B._______ von einer Dienststelle des Kantons C._______ in eine öffentlich-rechtliche Anstalt mit eigener Rechtspersönlichkeit eine Berechtigung der Beschwerdeführerin 2 ausgelöst hatte, den Unfallversicherer - die Beschwerdeführerin 1 - neu zu wählen.</w:t>
      </w:r>
    </w:p>
    <w:p>
      <w:r>
        <w:rPr>
          <w:b/>
        </w:rPr>
        <w:t>E. 1.6.3</w:t>
      </w:r>
    </w:p>
    <w:p>
      <w:r>
        <w:t>Die Höhe der Prämiensätze wurde nicht gerügt, weshalb diese nicht weiter zu prüfen sind. Anzumerken ist jedoch an dieser Stelle, dass die Prämienfestsetzung, die in der Verfügung vom 24. November 2011 angeordnet worden war, nicht etwa in Teilrechtskraft erwachsen ist, da die verfügten Prämiensätze mit der Aufhebung des angefochtenen Einspracheentscheids vom 27. Juli 2012 (vgl. E. 4. Hiernach) - welcher die Verfügung vom 24. November 2011 ersetzt hat - keine Wirkung entfalten könnten.</w:t>
      </w:r>
    </w:p>
    <w:p>
      <w:r>
        <w:rPr>
          <w:b/>
        </w:rPr>
        <w:t>E. 1.6.4</w:t>
      </w:r>
    </w:p>
    <w:p>
      <w:r>
        <w:t>Nicht streitig und zu prüfen ist weiter, dass die Beschwerdeführerin 2 nicht dem Versicherungsobligatorium bei der Suva nach Art. 66 UVG untersteht (RKUV 1987 Nr. U 29 S. 427 E. 2b).</w:t>
      </w:r>
    </w:p>
    <w:p>
      <w:r>
        <w:rPr>
          <w:b/>
        </w:rPr>
        <w:t>E. 1.6.5</w:t>
      </w:r>
    </w:p>
    <w:p>
      <w:r>
        <w:t>Schliesslich ist darauf hinzuweisen, dass die Fragen betreffend die Belange des öffentlichen Ausschreibungsverfahrens und der Vergabe, dessen Modalitäten sowie die von der Suva im Rahmen dieses Verfahrens eingereichte Offerte ebenfalls nicht Streitgegenstand des vorliegenden Verfahrens bilden. Auf die einschlägigen Ausführungen ist deshalb nicht weiter einzutreten.</w:t>
      </w:r>
    </w:p>
    <w:p>
      <w:r>
        <w:rPr>
          <w:b/>
        </w:rPr>
        <w:t>E. 2</w:t>
      </w:r>
    </w:p>
    <w:p>
      <w:r>
        <w:t>Nachfolgend ist Art. 75 UVG einer Analyse zu unterziehen:</w:t>
      </w:r>
    </w:p>
    <w:p>
      <w:r>
        <w:rPr>
          <w:b/>
        </w:rPr>
        <w:t>E. 2.1</w:t>
      </w:r>
    </w:p>
    <w:p>
      <w:r>
        <w:t>Gemäss Art. 75 Abs. 1 UVG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w:t>
      </w:r>
    </w:p>
    <w:p>
      <w:r>
        <w:rPr>
          <w:b/>
        </w:rPr>
        <w:t>E. 2.1.1</w:t>
      </w:r>
    </w:p>
    <w:p>
      <w:r>
        <w:t>Im Rahmen der Ausarbeitung des UVG konnte die Suva den "Besitzstand" wahren, den sie beim Auslaufen des Bundesgesetzes über die Kranken- und Unfallversicherung (KUVG; AS 1995 1363) besass: Betriebe, die ihr unterstellt waren, sollten es auch nach neuem Recht bleiben. Aufgrund des in Art. 75 Abs. 1 UVG eingeräumten Wahlrechts können die Berechtigten zwischen der Suva und anderen Versicherungsträgern nach UVG wählen. Allein das Wahlrecht konnten die "bereits bestehenden öffentlichen Verwaltungen" nur bis zum 31. Oktober 1983 ausüben (vgl. Alfred Maurer, Schweizerisches Unfallversicherungsrecht, Bern, 1985, S. 51; vgl. auch Botschaft zum UVG vom 18. August 1976 S. 176 f. und S. 212 [BBl 1976 III 141]). Übte eine öffentliche Verwaltung das Wahlrecht nicht rechtzeitig aus, so waren ihre Arbeitnehmer bei der Suva versichert (Art. 3 Abs. 4 der Verordnung über die Inkraftsetzung und Einführung des UVG vom 20. September 1982 [im Folgenden: VO Inkraftsetzung/Einführung UVG; AS 1982 1724]).</w:t>
      </w:r>
    </w:p>
    <w:p>
      <w:r>
        <w:rPr>
          <w:b/>
        </w:rPr>
        <w:t>E. 2.1.2</w:t>
      </w:r>
    </w:p>
    <w:p>
      <w:r>
        <w:t>Mit Blick auf die in Art. 3 Abs. 1 VO Inkraftsetzung/Einführung UVG normierte zeitliche Begrenzung zur Ausübung des Wahlrechts und den Wortlaut von Art. 75 Abs. 1 UVG ist erstellt, dass diese Gesetzesbestimmung eine intertemporalrechtliche Bedeutung gehabt hatte resp. sich die Beschwerdeführerin 2 (vor der Verselbstständigung) im Rahmen des Inkrafttretens des UVG damals für die Suva als Unfallversicherer entschieden hatte, was unbestritten ist. Damit kann es vorliegend jedoch nicht sein Bewenden haben.</w:t>
      </w:r>
    </w:p>
    <w:p>
      <w:r>
        <w:rPr>
          <w:b/>
        </w:rPr>
        <w:t>E. 2.1.3</w:t>
      </w:r>
    </w:p>
    <w:p>
      <w:r>
        <w:t>Obwohl in der Fussnote zu Art. 75 UVG auf die VO Inkraftsetzung/Einführung UVG hingewiesen wird und Art. 75 Abs. 1 UVG im Rahmen seiner intertemporalrechtlichen Bedeutung seine Massgeblichkeit im Zeitpunkt des angefochtenen Einspracheentscheids vom 27. Juli 2012 verloren hatte, ist entgegen der Auffassung der Suva nicht von einer bloss intertemporalrechtlichen Bedeutung von Art. 75 UVG auszugehen, was sich bereits aus der systematischen Stellung dieser Gesetzesbestimmung ergibt: Hätte Art. 75 UVG bloss intertemporalrechtliche Bedeutung für das Wahlrecht gehabt, hätte diese Bestimmung ihren Niederschlag in den Schluss- und Übergangsbestimmungen finden müssen. Dass Art. 75 UVG in der Folge nicht obsolet geworden war, zeigt sich insbesondere auch mit Blick auf Art. 75 Abs. 2 UVG - wonach Verwaltungen und Betriebe, die eine Einheit bilden, beim gleichen Versicherer versichert werden - und Art. 98 Abs. 1 UVV, wo sich eine Umschreibung des Begriffs "Einheit" findet, sowie an Art. 98 Abs. 2 UVV, wo von neu geschaffenen Verwaltungs- und Betriebseinheiten die Rede ist. Dass - wie von der Vorinstanz vorgebracht - die Verordnungsbestimmung von Art. 98 UVV der Gesetzesnorm von Art. 75 UVG widerspricht, trifft, wie die nachfolgenden Erwägungen verdeutlichen, nicht zu.</w:t>
      </w:r>
    </w:p>
    <w:p>
      <w:r>
        <w:rPr>
          <w:b/>
        </w:rPr>
        <w:t>E. 2.2.1</w:t>
      </w:r>
    </w:p>
    <w:p>
      <w:r>
        <w:t>Gemäss Art. 98 Abs. 1 UVV bilden Zweige der öffentlichen Verwaltungen und öffentliche Betriebe je eine Einheit, wenn sie organisatorisch selbständig sind. Solche Einheiten müssen beim gleichen Versicherer versichert werden. Neu geschaffene Verwaltungs- und Betriebseinheiten müssen die Wahl des Versicherers spätestens einen Monat vor der Aufnahme der Tätigkeit treffen. Den Vertretern der Arbeitnehmer ist ein Mitbestimmungsrecht einzuräumen (Art. 98 Abs. 2 UVV). Übt eine öffentliche Verwaltung das Wahlrecht nicht rechtzeitig aus, so sind ihre Arbeitnehmer bei der SUVA versichert (Art. 98 Abs. 3 UVV). Gemäss Art. 98 Abs. 4 UVV üben die öffentlichen Verwaltungen ihr Wahlrecht aus, indem sie dem gewählten Versicherer einen schriftlichen Versicherungsantrag unter Angabe der davon betroffenen Verwaltungs- und Betriebseinheiten zustellen.</w:t>
      </w:r>
    </w:p>
    <w:p>
      <w:r>
        <w:rPr>
          <w:b/>
        </w:rPr>
        <w:t>E. 2.2.2</w:t>
      </w:r>
    </w:p>
    <w:p>
      <w:r>
        <w:t>Für gesetzesvertretende Verordnungen bedarf der Bundesrat einer ausdrücklichen Delegationsnorm (vgl. Ulrich Häfelin/Georg Müller/Felix Uhlmann, Allgemeines Verwaltungsrecht, 6. Auflage, Zürich/ St. Gallen 2010, Rz. 143 S. 32). Das Kriterium der Unterscheidung von selbstständigen und unselbstständigen Verordnungen liegt darin, ob sich die Rechtsgrundlage der Verordnung in der Verfassung oder in einem Gesetz findet. Unselbstständige Verordnungen beruhen auf einer Ermächtigung zur Rechtsetzung in einem Gesetz (vgl. Ulrich Häfelin/Georg Müller/Felix Uhlmann, a.a.O., Rz. 146 und 150 S. 33). Die Gesetzesdelegation ist nur zulässig, wenn die Gesetzesdelegation nicht durch die Verfassung ausgeschlossen ist, die Delegationsnorm in einem Gesetz enthalten ist, die Delegation sich auf eine bestimmte, genau umschriebene Materie beschränkt und die Grundzüge der delegierten Materie in einem Gesetz umschrieben sind (vgl. BGE 134 I 322 und 128 I 113).</w:t>
      </w:r>
    </w:p>
    <w:p>
      <w:r>
        <w:rPr>
          <w:b/>
        </w:rPr>
        <w:t>E. 2.2.3</w:t>
      </w:r>
    </w:p>
    <w:p>
      <w:r>
        <w:t>Bei Art. 98 UVV - welche sich auf Art. 75 UVG stützt - handelt es sich um eine unselbstständige Verordnungsbestimmung des Bundesrates. Bei solchen Verordnungen prüft das Bundesgericht, ob sich der Bundesrat an die Grenzen der ihm im Gesetz eingeräumten Befugnisse gehalten hat. Wird diesem vom Gesetzgeber ein sehr weiter Spielraum für die Regelung eingeräumt, so ist er für das Bundesgericht verbindlich. Es muss sich auf die Kontrolle beschränken, ob die Verordnung den Rahmen der Gesetzesdelegation offensichtlich sprengt oder aus anderen Gründen gesetzes- oder verfassungswidrig ist (vgl. BGE 133 V 42 E. 3.1 und 131 II 562 E. 3.2).</w:t>
      </w:r>
    </w:p>
    <w:p>
      <w:r>
        <w:rPr>
          <w:b/>
        </w:rPr>
        <w:t>E. 2.2.4</w:t>
      </w:r>
    </w:p>
    <w:p>
      <w:r>
        <w:t>Da die in Art. 75 Abs. 1 UVG normierte Delegation an den Bundesrat verfassungsmässig nicht ausgeschlossen ist, die Delegationsnorm von Art. 98 UVV und die Grundzüge des Wahlrechts in Art. 75 Abs. 1 UVG enthalten sind und sich die in dieser gesetzlichen Bestimmung normierte Delegation auf das Wahlrecht von Kantonen, Bezirken, Kreisen, Gemeinden und anderen öffentlich-rechtlichen Körperschaften für die Versicherung ihres Personals beschränkt, sind die Voraussetzungen zur Zulässigkeit der Gesetzesdelegation kumulativ erfüllt. Art. 98 UVV ist mit Art. 75 UVG vereinbar, denn - obwohl Art. 75 UVG dem Verordnungsgeber einen relativ weiten Ermessensspielraum für die Regelung des Wahlrechts einräumt - fällt die umstrittene Verordnungsvorschrift von Art. 98 UVV nicht aus dem Rahmen der dem Bundesrat in Art. 75 UVG delegierten Kompetenzen. Entgegen der Auffassung der Vorinstanz erweist sich Art. 98 UVV somit weder als gesetzwidrig noch als rechtsungleich oder willkürlich (vgl. zum Ganzen BGE 114 V 298 E. 4 mit Hinweisen). Bei diesem Ergebnis nicht weiter von Relevanz ist, ob der Suva als eine dem Bundesrat unterstellte Verwaltungseinheit eine vorfrageweise Überprüfung des Verordnungsrechts auf seine Übereinstimmung mit Gesetzesrecht zusteht resp. sie zur Rüge, Art. 98 UVV widerspreche Art. 75 UVG, befugt ist.</w:t>
      </w:r>
    </w:p>
    <w:p>
      <w:r>
        <w:rPr>
          <w:b/>
        </w:rPr>
        <w:t>E. 2.3</w:t>
      </w:r>
    </w:p>
    <w:p>
      <w:r>
        <w:t>Betreffend die Frage, ob die Beschwerdeführerin 2 seit dem 1. Januar 2012 organisatorische Selbstständigkeit besitzt, ergibt sich Folgendes:</w:t>
      </w:r>
    </w:p>
    <w:p>
      <w:r>
        <w:rPr>
          <w:b/>
        </w:rPr>
        <w:t>E. 2.3.1</w:t>
      </w:r>
    </w:p>
    <w:p>
      <w:r>
        <w:t>Betreffend die in Art. 75 Abs. 2 UVG erwähnte "Einheit" findet sich in Art. 98 Abs. 1 UVV eine Umschreibung. Demnach ist massgebend, ob Zweige der öffentlichen Verwaltungen und öffentlichen Betriebe - damit sie eine Einheit bilden - organisatorisch selbstständig sind. Eine technisch-organisatorisch verselbstständigte Verwaltungseinheit bildet gemäss Lehre Merkmal der öffentlich-rechtlichen Anstalt (vgl. Ulrich Häfelin/Georg Müller/Felix Uhlmann, a.a.O., Rz. 1316 S. 302). Selbstständige öffentlich-rechtliche Anstalten sind Anstalten, die mit eigener Rechtspersönlichkeit ausgestattet sind (vgl. Ulrich Häfelin/Georg Müller/Felix Uhlmann, a.a.O., Rz. 1320 S. 303). Autonomie liegt vor, wenn einer öffentlich-rechtlichen Anstalt ein verhältnismässig grosses Mass an administrativer Selbstständigkeit, d.h. Entscheidungsfreiheit, zukommt. Die Anstalt bzw. die Anstaltsleitung kann im gesetzlichen Rahmen selber darüber entscheiden, wie sie die ihr übertragenen Verwaltungsaufgaben erfüllen will. Ihr steht insbesondere das Recht zur Regelung organisatorischer Fragen sowie der Beziehungen zwischen Anstalt und Anstaltsbenützern zu. Hinsichtlich dieser Fragen kann sie auch rechtsetzend tätig werden und Anstaltsverordnungen (Rechts- und Verwaltungsverordnungen) erlassen (vgl. Ulrich Häfelin/Georg Müller/Felix Uhlmann, a.a.O., Rz. 1326 S. 304).</w:t>
      </w:r>
    </w:p>
    <w:p>
      <w:r>
        <w:rPr>
          <w:b/>
        </w:rPr>
        <w:t>E. 2.3.2</w:t>
      </w:r>
    </w:p>
    <w:p>
      <w:r>
        <w:t>Die B._______ sind seit 1. Januar 2012 ein Unternehmen des Kantons C._______ in der Form einer selbstständigen öffentlich-rechtlichen Anstalt mit eigener Rechtspersönlichkeit und Sitz in I._______ (vgl. § 1 und 2 des Gesetzes über die öffentlichen Spitäler des Kantons C._______ vom 16. Februar 2011 [ÖSpG]; systematische Sammlung Nr. 331.100; abrufbar unter www.gesetzes-sammlung.C._______.ch; zuletzt besucht am 25. Februar 2014). Gemäss § 5 Abs. 1 ÖSpG sind die Organe des öffentlichen Spitals der Verwaltungsrat (Bst. a), die Spitalleitung (Bst. b) und die Revisionsstelle (Bst. c). Laut § 11 Abs. 1 ÖSpG ist der Regierungsrat im Rahmen seiner Aufsichtsbefugnisse berechtigt, Auskünfte zu verlangen und in Unterlagen Einsicht zu nehmen. Er nimmt Kenntnis vom Bericht der Revisionsstelle, genehmigt auf Antrag des Verwaltungsrates die Jahresrechnung und entscheidet auf Antrag des Verwaltungsrates über die Verwendung des Bilanzgewinnes (§ 11 Abs. 2 ÖSpG). Den B._______ wird zur Erfüllung ihrer Aufgabe vom Kanton C._______ ein Dotationskapital gewährt und jene verfügen über eine angemessene Eigenkapitalquote (§ 15 Abs. 1 und 2 ÖSpG) sowie über eigenes Vermögen (§ 17 ÖSpG). Mit Blick auf diese sowie weitere Gesetzesbestimmungen, insb. betreffend Aufgaben des Verwaltungsrats und der Spitalleitung (§ 7 und 9 ÖSpG), der Haftung (§ 20 ÖSpG) und der Verantwortlichkeit (§ 21 ÖSpG), ist die Voraussetzung der organisatorischen Selbstständigkeit gemäss Art. 98 Abs. 1 UVV ohne weiteres erfüllt.</w:t>
      </w:r>
    </w:p>
    <w:p>
      <w:r>
        <w:rPr>
          <w:b/>
        </w:rPr>
        <w:t>E. 2.4</w:t>
      </w:r>
    </w:p>
    <w:p>
      <w:r>
        <w:t>Es stellt sich weiter die Frage, ob aufgrund der Neuorganisation gestützt auf Art. 98 Abs. 2 UVV - wie von den Beschwerdeführenden behauptet - eine selbstständige und autonome Wahl der Versicherungsträgerin ge-stattet ist.</w:t>
      </w:r>
    </w:p>
    <w:p>
      <w:r>
        <w:rPr>
          <w:b/>
        </w:rPr>
        <w:t>E. 2.4.1</w:t>
      </w:r>
    </w:p>
    <w:p>
      <w:r>
        <w:t>Entgegen der Auffassung der Suva erfasst Art. 98 Abs. 2 UVV nicht nur originär neue Verwaltungstätigkeit, sondern diese Verordnungsbestimmung zielt darauf ab, neu geschaffenen Verwaltungs- und Betriebseinheiten ein Wahlrecht betreffend Unfallversicherer zu gewähren. Wie vorstehend bereits dargelegt, wurden die B._______ per 1. Januar 2012 neu organisiert und als selbstständige öffentlich-rechtliche Anstalt ausgestaltet (vgl. E. 2.3.2 hiervor). Bei der Entlassung in die Selbstständigkeit handelte es sich aufgrund der neu gewonnenen Autonomie nicht bloss um einen Wechsel des Rechtskleids im Sinne einer Umwandlung. Daran ändert auch der Umstand nichts, dass die Spitäler bei der Suva als Versicherte mit eigener Kundennummer geführt wurden, da es sich dabei um eine Suva-interne Differenzierung handelt. Weiter führen bei diesem Ergebnis auch die Verweise der Suva auf die Bildung eines Prämienkonzerns und auf selbstständige Korrespondenz des Spitals mir ihr betreffend Unfallmeldungen ins Leere.</w:t>
      </w:r>
    </w:p>
    <w:p>
      <w:r>
        <w:rPr>
          <w:b/>
        </w:rPr>
        <w:t>E. 2.4.2</w:t>
      </w:r>
    </w:p>
    <w:p>
      <w:r>
        <w:t>Wie im Gutachten von Prof. Dr. iur. H._______ betreffend das E._______ - was auch für die B._______ gilt - in korrekter Weise ausgeführt worden war, erhielt die Beschwerdeführerin 2 autonome Gestaltungs- und Reaktionsmöglichkeiten, und die strategische Führung erfolgt durch den Verwaltungsrat. Die B._______ wurden mit der Neuorganisation in organisatorischer Hinsicht ohne Zweifel vom Kanton C._______ gelöst (AB-act. 15 S. 11). Nicht zu beanstanden sind darüber hinaus auch die diesbezüglichen Ausführungen der Beschwerdeführerin 2. Es trifft zu, dass die B._______ vor dem 1. Januar 2012 nicht über derart viel Autonomie verfügte wie ab diesem Zeitpunkt durch die Neuorganisation. Die B._______ können nun innerhalb ihres Leistungsauftrages strategische Zielsetzungen verfolgen, und die Ausgliederung per 1. Januar 2012 ging über die rein rechtliche Verselbstständigung eines Verwaltungszweigs hinaus. Wenn - wie vorliegend - ein Spital wie die B._______ in die Autonomie entlassen wird, muss dieser Autonomie resp. Neuorganisation dergestalt Rechnung getragen werden können, dass der neu geschaffenen Verwaltungseinheit das Recht einzuräumen ist, auch die obligatorische Unfallversicherung neu selber zu regeln. Dies ergibt sich ohne weiteres aufgrund der massgeblichen Verordnungsbestimmung. Bereits der gesetzliche Wortlaut von Art. 98 Abs. 2 UVV - welcher Ausgangspunkt jeder Auslegung bildet (vgl. SVR 2005 ALV Nr. 6 S. 20 E. 3.3) - legt den Schluss nahe, dass die B._______ den Unfallversicherer zufolge der Neuorganisation neu hatten wählen können. Von diesem klaren Wortlaut dürfte nur dann ausnahmsweise abgewichen werden, wenn triftige Gründe dafür vorlägen, dass der Wortlaut nicht den wahren Sinn der Bestimmung wiedergeben würde (vgl. BGE 137 V 13 E. 5.1). Solche Gründe sind vorliegend nicht ersichtlich. Da sich das Bundesgericht bei der Auslegung von Erlassen jedoch stets von einem Methodenpluralismus hat leiten lassen (vgl. BGE 137 V 13 E. 5.1), ist zur Ergänzung und Verdeutlichung des Wortlauts von Art. 98 Abs. 1 und 2 UVV auf die bundesrätliche Antwort vom 6. Juni 2011 auf die Interpellation J._______ (...) zu verweisen. Der Bundesrat hielt darin unter anderem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(abrufbar unter http://www.parlament.ch/d/suche/seiten/geschaefte.aspx?gesch_id=[...]; zuletzt besucht am 25. Februar 2014). Auf die Interpellation G._______ hin (...) antwortete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(abrufbar unter http://www.parlament.ch/d/suche/seiten/geschaefte.aspx?gesch_id=[...]; zuletzt besucht am 25. Februar 2014). Darüber hinaus wird diese Auffassung auch vom BAG geteilt (vgl. AB-act. 14).</w:t>
      </w:r>
    </w:p>
    <w:p>
      <w:r>
        <w:rPr>
          <w:b/>
        </w:rPr>
        <w:t>E. 2.4.3</w:t>
      </w:r>
    </w:p>
    <w:p>
      <w:r>
        <w:t>Im Zusammenhang mit der Frage nach dem Wahlrecht ist schliesslich auch auf BGE 139 V 58 (Urteil des BGer 9C_883/2012 vom 12. Februar 2013) zu verweisen. In diesem höchstrichterlichen Entscheid wurde unter anderem erwogen, dass ein Wechsel eines in die Selbstständigkeit entlassenen kantonalen Spitals von der kantonalen Ausgleichskasse zur Ausgleichskasse eines regionalen zwischenberuflichen Verbandes zulässig sei. Obwohl es in diesem Urteil um einen Wechsel der Ausgleichskasse ging, der nach anderen gesetzlichen Grundlagen zu beurteilen war, steht diese Rechtsprechung im Einklang mit den Erwägungen im vorliegenden Fall.</w:t>
      </w:r>
    </w:p>
    <w:p>
      <w:r>
        <w:rPr>
          <w:b/>
        </w:rPr>
        <w:t>E. 2.5</w:t>
      </w:r>
    </w:p>
    <w:p>
      <w:r>
        <w:t>Nach dem vorstehend Dargelegten ist zusammenfassend festzuhalten, dass es sich bei den B._______ um eine Einheit im Sinne von Art. 98 Abs. 1 UVV handelt, weil die in dieser Verordnungsbestimmung normierte obligatorische Selbstständigkeit gegeben ist. Durch die per 1. Januar 2012 vorgesehene, grundlegende Umgestaltung wurde ein neuer Betrieb geschaffen, was zur Folge hat, dass auch Art. 98 Abs. 2 Satz 1 UVV erfüllt ist und der B._______ ein Wahlrecht zustand.</w:t>
      </w:r>
    </w:p>
    <w:p>
      <w:r>
        <w:rPr>
          <w:b/>
        </w:rPr>
        <w:t>E. 3</w:t>
      </w:r>
    </w:p>
    <w:p>
      <w:r>
        <w:t>In einem nächsten Schritt ist die Frage zu klären, ob das der Beschwerdeführerin 2 zustehende Wahlrecht rechtskonform ausgeübt wurde.</w:t>
      </w:r>
    </w:p>
    <w:p>
      <w:r>
        <w:rPr>
          <w:b/>
        </w:rPr>
        <w:t>E. 3.1</w:t>
      </w:r>
    </w:p>
    <w:p>
      <w:r>
        <w:t>Gemäss Art. 98 Abs. 2 Satz 2 UVV ist den Vertretern der Arbeitnehmer ein Mitbestimmungsrecht einzuräumen. Die Beschwerdeführerin 2 führte in ihrer Beschwerde vom 13. September 2012 (Verfahren C-4833/2012) aus, dass ein Einbezug der Mitarbeitenden mit Blick auf die Notwendigkeit einer Ausschreibung und die kurze Frist per Ende 2011 kaum habe stattfinden können. Eine entsprechende Verletzung würde nicht zur Ungültigkeit der Wahl des Versicherers führen. Die Vorinstanz dagegen vertrat in ihrer Beschwerdeantwort vom 7. Dezember 2012 die Auffassung, unbestrittenermassen sei das Mitbestimmungsrecht nicht gewährt worden, weshalb die B._______ selbst bei (falscher) Annahme, dass ihnen das Wahlrecht zustehe, über den 31. Dezember 2011 hinaus bei der Suva versichert wären, weil das Wahlrecht nicht rechtskonform ausgeübt worden wäre. Im Rahmen der Beschwerde vom 12. September 2012 (Verfahren C-4791/2012) wurde weiter geltend gemacht, bei Art. 98 Abs. 2 Satz 2 UVV handle es sich um eine Ordnungsvorschrift, deren Nichtbefolgung nicht die Rechtsfolge von Art. 98 Abs. 3 UVV nach sich ziehe. Dem entgegnete die Suva duplicando am 24. Mai 2013, da den Arbeitnehmenden unbestrittenermassen kein Mitbestimmungsrecht im Sinne von Art. 98 Abs. 2 Satz 2 UVV eingeräumt worden sei, sei diese zwingende Bestimmung verletzt und das Wahlrecht innert gesetzlicher Frist (Art. 98 Abs. 2 Satz 1 UVV) nicht rechtskonform ausgeübt worden, weshalb das Personal der B._______ selbst bei Bejahung eines Wahlrechts weiterhin bei der Suva versichert bleiben müsste (Art. 98 Abs. 3 UVV).</w:t>
      </w:r>
    </w:p>
    <w:p>
      <w:r>
        <w:rPr>
          <w:b/>
        </w:rPr>
        <w:t>E. 3.2</w:t>
      </w:r>
    </w:p>
    <w:p>
      <w:r>
        <w:t>Art. 98 Abs. 3 UVV besagt, dass für den Fall, dass eine öffentliche Verwaltung das Wahlrecht nicht rechtzeitig ausübt, ihre Arbeitnehmer bei der Suva versichert sind. Da in dieser Verordnungsbestimmung nur die verspätete Ausübung des Wahlrechts, nicht aber die Verletzung des Mitbestimmungsrechts sanktioniert wird, kann entgegen der Meinung der Suva nicht davon ausgegangen werden, dass - bei rechtzeitiger Ausübung des Wahlrechts - durch die Verletzung des Mitbestimmungsrechts die Arbeitnehmer weiterhin bei der Suva versichert sind. Vielmehr ist davon auszugehen, dass es sich bei Art. 98 Abs. 2 Satz 2 UVV um eine Ordnungsvorschrift handelt und der Verordnungsgeber bewusst und gewollt durch qualifiziertes Schweigen auf eine Sanktion bei Verletzung dieser Vorschrift verzichtet hat. Es liegt mit anderen Worten diesbezüglich keine Lücke vor, und eine richterliche Lückenfüllung käme unter den gegebenen Umständen nicht in Frage (vgl. hierzu BGE 134 V 182 E. 4.1, 132 III 470 E. 5.1, 130 V 229 E. 2.3 und 125 V 8 E. 3). Insofern kann den Ausführungen der Suva, welche die Verletzung des Mitbestimmungsrechts gemäss Art. 98 Abs. 2 Satz 2 UVV unter die Rechtsfolgen von Art. 98 Abs. 3 UVV subsumiert haben will, nicht gefolgt werden. Dies gilt im Übrigen auch für den Einwand, das Wahlrecht sei nicht rechtzeitig (d.h. spätestens einen Monat vor Aufnahme der Tätigkeit) mittels Zustellung eines Versicherungsantrags an den gewählten Versicherer ausgeübt worden. Denn der entsprechende Antrag wurde vom Direktor der B._______ und vom Geschäftsführer der F._______ am 29. November 2011 unterzeichnet und gleichentags der A._______ übermittelt (B-act. 18 Beilage 1; vgl. auch E. 1.4.2.2 hiervor).</w:t>
      </w:r>
    </w:p>
    <w:p>
      <w:r>
        <w:rPr>
          <w:b/>
        </w:rPr>
        <w:t>E. 4</w:t>
      </w:r>
    </w:p>
    <w:p>
      <w:r>
        <w:t>Aufgrund der vorstehenden Erwägungen ist zusammenfassend festzuhalten, dass die Beschwerdeführerin 2 durch die per 1. Januar 2012 erfolgte Umwandlung der B._______ von einer Dienststelle des Kantons C._______ in eine öffentlich-rechtliche Anstalt mit eigener Rechtspersönlichkeit berechtigt war, neu die Beschwerdeführerin 1 mit der Durchführung der Unfallversicherung zu betrauen. Demnach sind die Beschwerden vom 12. und 13. September 2012, soweit darauf einzutreten ist, gutzuheissen. Der angefochtene Einspracheentscheid der Suva vom 27. Juli 2012, welcher die Verfügung vom 24. November 2011 ersetzt hat, ist aufzuheben. Bei diesem Ergebnis kann offen bleiben, ob die Suva mit Erlass einer Anschlussverfügung nach Unterliegen im Submissionsverfahren rechtsmissbräuchlich oder gegen den Grundsatz von Treu und Glauben verstossend gehandelt hat.</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Der unterliegenden Vorinstanz sind allerdings keine Verfahrenskosten aufzuerlegen (Art. 63 Abs. 2 VwVG). Den überwiegend obsiegenden Beschwerdeführenden sind ebenfalls keine Kosten aufzuerlegen. Diesen ist der geleistete Verfahrenskostenvorschuss von je Fr. 2'000.- nach Eintritt der Rechtskraft des vorliegenden Urteils auf ein von ihnen bekannt zu gebendes Konto zurückzuerstatten.</w:t>
      </w:r>
    </w:p>
    <w:p>
      <w:r>
        <w:rPr>
          <w:b/>
        </w:rPr>
        <w:t>E. 5.2</w:t>
      </w:r>
    </w:p>
    <w:p>
      <w:r>
        <w:t>Die Beschwerdeführenden haben gemäss Art. 64 Abs. 1 VwVG in Ver­bindung mit Art. 7 des Reglements vom 21. Februar 2008 über die Kosten und Entschädigungen vor dem Bundesverwaltungsgericht (VGKE, SR 173.320.2) zu Lasten der Vorinstanz Anspruch auf eine Parteientschädigung. Da keine Kostennote eingereicht worden ist, ist diese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jeweils pauschal Fr. 3'000.- (inkl. Auslagen und Mehrwertsteuer; vgl.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