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C-4789/2015 vom 29. Januar 2016</w:t>
      </w:r>
    </w:p>
    <w:p>
      <w:r>
        <w:t>Bundesverwaltungsgericht, 2016-01-29, DE</w:t>
      </w:r>
    </w:p>
    <w:p>
      <w:r>
        <w:rPr>
          <w:b/>
        </w:rPr>
        <w:t xml:space="preserve">Quelle: </w:t>
      </w:r>
      <w:r>
        <w:t>https://mcp.opencaselaw.ch/entscheid/bvger_C-4789_2015</w:t>
      </w:r>
    </w:p>
    <w:p>
      <w:r>
        <w:t>FR: TAF C-4789/2015 du 29 janvier 2016</w:t>
      </w:r>
    </w:p>
    <w:p>
      <w:r>
        <w:t>IT: TAF C-4789/2015 del 29 gennaio 2016</w:t>
      </w:r>
    </w:p>
    <w:p>
      <w:pPr>
        <w:pStyle w:val="Heading2"/>
      </w:pPr>
      <w:r>
        <w:t>Regeste</w:t>
      </w:r>
    </w:p>
    <w:p>
      <w:r>
        <w:t>Krankheits- und Unfallbekämpfung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genannten Behörden. Die sachliche Zuständigkeit des Bundesverwal­tungsgerichts zur Beurteilung von Beschwerden gegen Verfügungen der Vollzugsorgane im Bereich der Produktesicherheit ergibt sich aus Art. 15 Abs. 2 PrSG.</w:t>
      </w:r>
    </w:p>
    <w:p>
      <w:r>
        <w:rPr>
          <w:b/>
        </w:rPr>
        <w:t>E. 1.2</w:t>
      </w:r>
    </w:p>
    <w:p>
      <w:r>
        <w:t>Angefochten ist eine Verfügung der bfu, die gestützt auf das PrSG erlassen wurde. Die bfu ist ein Produktesicherheits-Kontrollorgan (Art. 20 Abs. 1 Bst. b PrSV; Art. 3 und Anhang Bst. h Abs. 2 der Verordnung des WBF [Departement für Wirtschaft, Bildung und Forschung] vom 18. Juni 2010 über den Vollzug der Marktüberwachung nach dem 5. Abschnitt der Verordnung über die Produktesicherheit [SR 930.111.5]) und Vorinstanz im Sinne von Art. 33 Bst. e VGG. Das Bundesver­waltungsgericht ist demnach zur Beurteilung der vorliegenden Beschwerde zuständig.</w:t>
      </w:r>
    </w:p>
    <w:p>
      <w:r>
        <w:rPr>
          <w:b/>
        </w:rPr>
        <w:t>E. 1.3</w:t>
      </w:r>
    </w:p>
    <w:p>
      <w:r>
        <w:t>Das Verfahren vor dem Bundesverwaltungsgericht richtet sich nach dem Verwaltungsverfahrensgesetz, soweit das Verwaltungsgerichtsgesetz nichts anderes bestimmt (Art. 37 VGG, vgl. auch Art. 10 Abs. 6 PrSG und Art. 23 PrSV).</w:t>
      </w:r>
    </w:p>
    <w:p>
      <w:r>
        <w:rPr>
          <w:b/>
        </w:rPr>
        <w:t>E. 1.4</w:t>
      </w:r>
    </w:p>
    <w:p>
      <w:r>
        <w:t>Die Beschwerdeführerin ist als Verfügungsadressatin durch die ange­fochtene Verfügung besonders berührt und hat ein schutz­würdiges Interesse an deren Aufhebung oder Änderung. Sie ist daher zur Beschwer­de­führung legitimiert (vgl. Art. 48 Abs. 1 VwVG). Da auf die Erhebung eines Kosten­vorschusses vorderhand verzichtet wurde, hängt das weitere Vorgehen doch von der zuerst zu beantwortenden Frage ab, ob die Be­schwerdeführerin als richtige Adressatin der angefochtenen Verfügung im vorinstanzlichen Ver­fahren nach dem 1. Januar 2015 zu betrachten ist, ist auf die im Übrigen frist- und formgerecht erhobene Beschwerde grund­sätzlich einzutreten.</w:t>
      </w:r>
    </w:p>
    <w:p>
      <w:r>
        <w:rPr>
          <w:b/>
        </w:rPr>
        <w:t>E. 1.5</w:t>
      </w:r>
    </w:p>
    <w:p>
      <w:r>
        <w:t>Das Bundesverwaltungsgericht prüft die Verletzung von Bundesrecht einschliesslich die Überschreitung oder den Missbrauch des Ermessens, die unrichtige oder unvollständige Feststellung des rechtserheblichen Sachverhalts und die Unangemessenheit (Art. 49 VwVG). Der bfu steht beim Erlass von Verfügungen betreffend Produkte­sicherheit ein grosser Ermessensspielraum zu. Gemäss bundesgerichtlicher Recht­sprechung hat auch die Rechtsmittelbehörde, der volle Kognition zusteht, in Ermessensfragen den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auch André Moser/Michael Beusch/Lorenz Kneubühler, Prozessieren vor dem Bundesverwaltungsgericht, 2. Auf­lage, Basel 2013, S. 90 Rz. 2.154).</w:t>
      </w:r>
    </w:p>
    <w:p>
      <w:r>
        <w:rPr>
          <w:b/>
        </w:rPr>
        <w:t>E. 2</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Die angefochtene Verfügung datiert vom 14. Juli 2015, also zeitlich nach dem am 1. Juli 2010 in Kraft getretenen PrSG (und dessen Ausführungs­bestimmungen). Die Vorinstanz hat deshalb zu Recht das PrSG ange­wendet. Ein Anwendungsfall von Art. 21 Abs. 1 PrSG (vgl. BGE 139 II 534 E. 1) liegt ohne Zweifel nicht vor.</w:t>
      </w:r>
    </w:p>
    <w:p>
      <w:r>
        <w:rPr>
          <w:b/>
        </w:rPr>
        <w:t>E. 2.1</w:t>
      </w:r>
    </w:p>
    <w:p>
      <w:r>
        <w:t>Das PrSG, welches das Bundesgesetzes vom 19. März 1976 über die Sicherheit von technischen Einrichtungen und Geräten (STEG, AS 1977 2370) abgelöst hat, soll die Sicherheit von Produkten gewährleisten und den grenzüberschreitenden freien Warenverkehr erleichtern; es gilt für das gewerbliche oder berufliche Inverkehrbringen von Produkten (Art. 1 Abs. 1 und 2 PrSG). Dabei soll das schweizerische Recht auf das Recht der Europäischen Union (EU) abgestimmt werden (Botschaft des Bundesrates zum Produktesicherheitsgesetz vom 25. Juni 2008 [BBl 2008 7407]). Eine behördliche Zulassung von Produkten ist - entsprechend dem "New approach" (vgl. Hans-Joachim Hess, Produktesicherheitsgesetz [PrSG], Handkommentar, Bern 2010, Art. 4 Rz. 15 ff.) - nicht vorgesehen, sondern das System der nachträglichen Kontrolle bzw. der Marktkontrolle (vgl. Art. 10 PrSG i.V.m. Art. 19 PrSV).</w:t>
      </w:r>
    </w:p>
    <w:p>
      <w:r>
        <w:rPr>
          <w:b/>
        </w:rPr>
        <w:t>E. 2.2</w:t>
      </w:r>
    </w:p>
    <w:p>
      <w:r>
        <w:t>Als Produkt im Sinne des PrSG gilt eine verwendungsbereite beweg­liche Sache, auch wenn sie einen Teil einer anderen beweglichen Sache oder einer unbeweglichen Sache bildet (vgl. Art. 2 Abs. 1 PrSG). Die Pro­dukteigenschaft geht nicht dadurch verloren, dass ein Produkt in eine unbewegliche Sache eingebaut wird (vgl. Hans-Joachim Hess, a.a.O., Art. 2 N. 9 und 27). Ein Produkt gilt als verwendungsbereit, auch wenn seine Einzelteile der Empfängerin oder dem Empfänger zum Ein- oder Zu­sammenbau übergeben werden (Art. 2 Abs. 2 PrSG). Gemäss Art. 2 Abs. 3 PrSG gilt als Inverkehrbringen das entgeltliche oder unentgeltliche Über­lassen eines Produkts, unabhängig davon, ob dieses neu, gebraucht, wiederaufbereitet oder wesentlich verändert worden ist; dem Inverkehr­bringen gleichgestellt sind der gewerbliche oder berufliche Eigengebrauch eines Produkts (Bst. a.), die Verwendung oder Anwendung eines Produkts im Rahmen des Erbringens einer Dienstleistung (Bst. b.), das Bereithalten eines Produkts zur Benützung durch Dritte (Bst. c.) sowie das Anbieten eines Produkts (Bst. d.).</w:t>
      </w:r>
    </w:p>
    <w:p>
      <w:r>
        <w:rPr>
          <w:b/>
        </w:rPr>
        <w:t>E. 2.3</w:t>
      </w:r>
    </w:p>
    <w:p>
      <w:r>
        <w:t>Produkte dürfen gemäss Art. 3 PrSG nur in Verkehr gebracht werden, wenn sie bei normaler oder vernünftigerweise vorhersehbarer Verwendung die Sicherheit und Gesundheit der Verwenderinnen und Verwender und Dritter nicht oder nur geringfügig gefährden (Abs. 1). Sie müssen den grundlegenden Sicherheits- und Gesundheitsanforderungen nach Art. 4 PrSG entsprechen, oder, wenn keine solchen Anforderungen festgelegt worden sind, dem Stand des Wissens und der Technik (Abs. 2). Für die Gewährleistung der Sicherheit und der Gesundheit der Verwenderinnen und Verwender und Dritter ist der Umstand zu berücksichtigen, dass das Produkt von Personengruppen verwendet werden kann, die dabei einer grösseren Gefahr ausgesetzt sind als andere (z.B. Kinder, Menschen mit Behin­derungen oder ältere Menschen [Abs. 3 Bst. d]).</w:t>
      </w:r>
    </w:p>
    <w:p>
      <w:r>
        <w:rPr>
          <w:b/>
        </w:rPr>
        <w:t>E. 2.4</w:t>
      </w:r>
    </w:p>
    <w:p>
      <w:r>
        <w:t>Der Bundesrat legt die grundlegenden Sicherheits- und Gesundheits­anforderungen fest; er berücksichtigt dabei das entsprechende inter­nationale Recht (Art. 4 PrSG).</w:t>
      </w:r>
    </w:p>
    <w:p>
      <w:r>
        <w:rPr>
          <w:b/>
        </w:rPr>
        <w:t>E. 2.5</w:t>
      </w:r>
    </w:p>
    <w:p>
      <w:r>
        <w:t>Wer ein Produkt in Verkehr bringt, muss nachweisen können, dass es die grundlegenden Sicherheits- und Gesundheitsanforderungen erfüllt (Art. 5 Abs. 1 PrSG). Wird ein Produkt nach den technischen Normen gemäss Art. 6 hergestellt, so wird vermutet, dass es die grundlegenden Sicherheits- und Gesundheitsanforderungen erfüllt (Art. 5 Abs. 2 PrSG). Das zuständige Bundesamt bezeichnet im Einvernehmen mit dem Staats­sekretariat für Wirtschaft (SECO) die technischen Normen, die geeignet sind, die grundlegenden Sicherheits- und Gesundheitsanforderungen nach Art. 4 PrSG zu konkretisieren (Art. 6 Abs. 1 PrSG). Soweit möglich be­zeichnet es die international harmonisierten Normen (Art. 6 Abs. 2 PrSG). Wer ein Produkt in Verkehr bringt, das den technischen Normen nach Artikel 6 nicht entspricht, muss nachweisen können, dass das Produkt die grund­legenden Sicherheits- und Gesundheitsanforderungen auf andere Weise erfüllt (Art. 5 Abs. 3 PrSG). Sind keine grundlegenden Sicherheits- und Gesundheitsanforderungen festgelegt worden, so muss nachgewie­sen werden können, dass das Produkt nach dem Stand des Wissens und der Technik hergestellt worden ist (Art. 5 Abs. 4 PrSG).</w:t>
      </w:r>
    </w:p>
    <w:p>
      <w:r>
        <w:rPr>
          <w:b/>
        </w:rPr>
        <w:t>E. 2.6</w:t>
      </w:r>
    </w:p>
    <w:p>
      <w:r>
        <w:t>Zum Nachweis der Erfüllung der Anforderungen nach Art. 3 bis 5 PrSG muss diejenige Person, welche Produkte in Verkehr bringt, ab dem Inverkehrbringen des Produkts während der angegebenen oder vernünfti­gerweise vorhersehbaren Gebrauchsdauer, jedoch mindestens während 10 Jahren ab der Herstellung, hinreichende technische Unterlagen bei­bringen können. Bei Serienanfertigungen beginnt die Frist mit der Her­stellung des letzten Exemplars zu laufen (Art. 10 Abs. 1 PrSV).</w:t>
      </w:r>
    </w:p>
    <w:p>
      <w:r>
        <w:rPr>
          <w:b/>
        </w:rPr>
        <w:t>E. 2.7</w:t>
      </w:r>
    </w:p>
    <w:p>
      <w:r>
        <w:t>Nach Art. 10 PrSG können die Vollzugsorgane Produkte, die in Verkehr gebracht werden, kontrollieren und nötigenfalls Muster erheben (Abs. 1). Die Kontrolle über die Einhaltung der Vorschriften über das Inverkehr­bringen obliegt vorliegend der bfu (vgl. Art. 20 Abs. 1 Bst. b PrSV i.V.m. der Verordnung des WBF [früher EVD] über den Vollzug der Marktüber­wachung nach dem 5. Abschnitt der Verordnung über die Produkte­sicherheit, Anhang Bst. h Ziff. 2).</w:t>
      </w:r>
    </w:p>
    <w:p>
      <w:r>
        <w:rPr>
          <w:b/>
        </w:rPr>
        <w:t>E. 2.7.1</w:t>
      </w:r>
    </w:p>
    <w:p>
      <w:r>
        <w:t>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zum Schutze der Sicherheit oder Gesundheit der Ver­wenderinnen oder Verwender oder Dritter insbesondere das weitere Inver­kehrbringen eines Produkts verbieten (Bst. a), die Warnung vor den Ge­fahren eines Produkts, seine Rücknahme oder einen Rückruf anordnen und nötigenfalls selbst vollziehen (Bst. b), ein Produkt, von dem eine un­mittelbare und ernste Gefahr ausgeht, einziehen und vernichten oder unbrauchbar machen (Bst. d). Massnahmen nach Absatz 3 werden, sofern dies zum Schutze der Bevölkerung erforderlich ist, als Allgemeinverfügung erlassen (Art. 10 Abs. 5 PrSG).</w:t>
      </w:r>
    </w:p>
    <w:p>
      <w:r>
        <w:rPr>
          <w:b/>
        </w:rPr>
        <w:t>E. 2.7.2</w:t>
      </w:r>
    </w:p>
    <w:p>
      <w:r>
        <w:t>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a) mit den eingereichten Unterlagen übereinstimmt; oder b) trotz eingereichter korrekter Unterlagen den geltenden Vorschriften entspricht, können die Kontrollorgane eine technische Überprüfung des Produkts anordnen (Abs. 4). Bringt der In­verkehrbringer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VwVG anwendbar (Art. 23 PrSV).</w:t>
      </w:r>
    </w:p>
    <w:p>
      <w:r>
        <w:rPr>
          <w:b/>
        </w:rPr>
        <w:t>E. 3</w:t>
      </w:r>
    </w:p>
    <w:p>
      <w:r>
        <w:t>Die Beschwerdeführerin macht zur Begründung ihrer Beschwerde vom 6. August 2015 im Wesentlichen geltend, dass sie vorliegend nicht in der Lage sei, die ihr in Ziffer 4 i.V.m. Ziffer 2 des Dispositivs auferlegten Pflichten umzusetzen, weil sie infolge des Verkaufs des gesamten Geschäfts keine Herrschaft mehr über den Vertrieb des Produktes X._______ habe. Infolge­dessen dürften ihr auch keine Gebühren auferlegt werden. Damit macht die Beschwerdeführerin zumindest implizit geltend, sie sei nicht die richtige Adressatin der angefochtenen Verfügung hinsichtlich des Verfügungs­dispositivs.</w:t>
      </w:r>
    </w:p>
    <w:p>
      <w:r>
        <w:rPr>
          <w:b/>
        </w:rPr>
        <w:t>E. 3.1</w:t>
      </w:r>
    </w:p>
    <w:p>
      <w:r>
        <w:t>Verfügungsadressaten sind diejenigen natürlichen und juristischen Per­sonen, deren Rechte und Pflichten im Sinne eines Tuns, Duldens oder Unterlassens durch die Verfügung unmittelbar, direkt und rechtsverbindlich geregelt werden oder deren Rechtsstellung durch den Hoheitsakt in anderer Weise gestaltet wird. Als primäre Adressaten werden jene Personen betrachtet, deren Rechte und Pflichten direkt geregelt werden. Sie bilden das Anordnungssubjekt bzw. die materiellen Verfügungs­adressaten. Dem­gegenüber haben als sekundäre Adressaten diejenigen zu gelten, welche entweder Anordnungsobjekt sind oder indirekt in ihrer materiellrechtlich geregelten Rechtsstellung betroffen werden (Isabelle Häner, Die Beteiligten im Verwaltungsverfahren und Verwaltungsprozess, Zürich 2000, Rz. 537 f.; Fritz Gygi, Bundesverwaltungsrechtspflege, 2. Auflage, Bern 1983, S. 132 f.). Da die bfu der Beschwerdeführerin die erwähnten Ver­pflichtungen auferlegte (vgl. E. C hiervor), hat sie diese als materielle Verfü­gungsadressatin der angefochtenen Verfügung erachtet. Ob zu Recht, ist nachfolgend zu prüfen.</w:t>
      </w:r>
    </w:p>
    <w:p>
      <w:r>
        <w:rPr>
          <w:b/>
        </w:rPr>
        <w:t>E. 3.2</w:t>
      </w:r>
    </w:p>
    <w:p>
      <w:r>
        <w:t>In ihrer Verfügung vom 14. Juli 2015 hat die Vorinstanz zunächst zutreffend ausgeführt, dass das Produktesicherheitsgesetz das gewerb­liche oder berufliche Inverkehrbringen von Produkten erfasst. Es richtet sich nebst den Vollzugsbehörden auch an die Inverkehrbringer (vgl. Art. 1 Abs. 1 und 2 PrSG sowie E. 2.1 hiervor; vgl. auch Botschaft des Bundes­rates zum Produktesicherheitsgesetz vom 25. Juni 2008 [im Folgenden: Botschaft PrSG] S. 7431 f.). Ebenfalls hat sie korrekt dargelegt, dass Hersteller, Importeure, Händler und Dienstleister als Inverkehrbringer im Sinne des Gesetzes gelten (vgl. Art. 3 Abs. 6 PrSG; vgl. auch Botschaft PrSG S. 7432). Der Vorinstanz ist im Weiteren darin beizupflichten, dass die Beschwerde­führerin im Zeitpunkt vom 29. Oktober 2014 (Kauf des Testmusters, vgl. act. 1 S. 52) die Herstellerin bzw. Inverkehrbringerin des kontrollierten Produktes war, was auch von der Beschwerdeführerin zu Recht nicht bestritten wird. Ebenfalls ist unbe­stritten, dass es sich bei der Beschwerdeführerin trotz Namensänderung um dieselbe juristische Per­son handelt. Aufgrund dieser Umstände erachtete die Vorinstanz die Be­schwerdeführerin als die richtige materielle Verfügungsadressatin der angefochtenen Verfügung. Darin kann ihr aus nachfolgenden Gründen nicht gefolgt werden.</w:t>
      </w:r>
    </w:p>
    <w:p>
      <w:r>
        <w:rPr>
          <w:b/>
        </w:rPr>
        <w:t>E. 3.3</w:t>
      </w:r>
    </w:p>
    <w:p>
      <w:r>
        <w:t>Die Beschwerdeführerin macht zu Recht geltend, dass sich die ihr auferlegten Pflichten, namentlich das unter Ziffer 2 des Dispositivs bis zur Behebung der darin aufgeführten Mängel geltende Verbot des Inverkehr­bringens des Produktes "X._______" einzuhalten, nicht auf Produkte beziehen können, die vor dem 31. Dezember 2014 in Verkehr gebracht wurden. Die mit Stellungnahme vom 26. Oktober 2015 gemachten Ausführungen der Vorinstanz, wonach sich das Dispositiv nur auf das von der Beschwer­deführerin vor dem 31. Dezember 2014 in Verkehr gebrachte Produkt beziehe, erweisen sich als widersprüchlich und nicht nachvollziehbar (vgl. BVGer-act. 9). Denn es leuchtet vorliegend gegenüber der Beschwerde­führerin, welche den Betrieb mit Waren und Rechten per 1. Januar 2015 verkauft hat, nicht ein, wie ein Inverkehrbringen bereits in Verkehr gebrachter Produkte unter Androhung einer Busse unterbunden werden soll. Auch der Verweis auf die Erwägung 3 ff. des Urteils des Bundesver­waltungsgerichts C-4660/2013 vom 28. Mai 2014 ändert nichts an dieser Sachlage, da sich die zitierten Stellen lediglich zur Frage äussern, welchen Sicherheitsanforderungen ein im Zeitpunkt des Inkrafttretens des Pro­duktesicherheitsgesetzes bereits in Verkehr gebrachtes Produkt zu entsprechen hat (vgl. E. 3 ff. des zitierten Entscheids). Demnach ist der Beschwerdeführerin darin beizupflichten, dass sich ein Verbot des (weiteren) Inverkehrbringens eines Produkts nur auf die Zukunft beziehen kann.</w:t>
      </w:r>
    </w:p>
    <w:p>
      <w:r>
        <w:rPr>
          <w:b/>
        </w:rPr>
        <w:t>E. 3.3.1</w:t>
      </w:r>
    </w:p>
    <w:p>
      <w:r>
        <w:t>Ein gegenüber der Beschwerdeführerin verfügtes Verbot des Inver­kehrbringens des Produktes X._______ würde dementsprechend nur Sinn ergeben, wenn sie weiterhin als Inverkehrbringerin im Sinnes des Ge­setzes zu qualifizieren wäre (zum Begriff vgl. E. 3.2 hiervor). Die Be­schwerde­führerin hat indessen mittels mit Beschwerde eingereichtem Vertrag vom (...) 2014 nachgewiesen, dass sie das Gesamte Geschäft betreffend X._______ samt Waren und Rechte an die Y._______ veräussert hat (vgl. Beilage 4 zu BVGer-act. 1). Zudem wurde der Verkauf mit Medienmitteilung vom (...) 2015 offiziell verkündet (vgl. act. 1 S. 47). Ein weiterer Beleg für den Verkauf und die Aufgabe der Geschäftstätigkeit ist die in Nachachtung der vertraglichen Pflichten erfolgte Namensänderung von Z._______ AG zu A._______ AG (vgl. Beilage 3 zu BVGer-act. 1 sowie beide Beilagen zu BVGer-act. 3). Zwar hat die Beschwerdeführerin im Rahmen der telefonischen Besprechung mit der Vorinstanz vom 1. April 2015 mitgeteilt, dass sie am 12. Februar 2015 noch der Distributor für die Schweiz gewesen sei. Sie erwähnte jedoch auch, dass der Vertrieb ab dem 1. April 2015 durch ein anderes Unternehmen erfolgen würde. Diese Aussage wurde in der Folge durch die am (...) 2015 im Internet veröffentliche Mittelung bestätigt (vgl. act. 1 S. 91 sowie http://www._______, zuletzt be­sucht am 24. Nov­ember 2015). Darüber hinaus bestätigte auch die neue Herstellerin des Produkts (Y._______) mit Eingabe per E-Mail vom 29. April 2015, dass die Beschwerdeführerin nichts mehr mit dem Vertrieb des Produkts X._______ zu tun habe (vgl. act. 2 S. 100). Schliesslich hat die Beschwerdeführerin nach der (offiziellen) Eröffnung des Kontrollverfahrens vom 12. Februar 2015 (vgl. act. 1 S. 55 und 82-86) gegenüber der Vorinstanz stets betont, dass die Eingaben - aufgrund der vertraglich vereinbarten Unterstützung (vgl. Beilage 4 zu BVGer-act. 1) - in Vertretung bzw. im Namen der neuen Inhaberin Y._______ erfolgten (vgl. act. 2 S. 91-96). Daher bestritt sie auch mit Eingabe vom 24. Juni 2015 ihre Parteistellung im vorinstanzlichen Ver­fahren (vgl. act. 2 S. 105 f.).</w:t>
      </w:r>
    </w:p>
    <w:p>
      <w:r>
        <w:rPr>
          <w:b/>
        </w:rPr>
        <w:t>E. 3.3.2</w:t>
      </w:r>
    </w:p>
    <w:p>
      <w:r>
        <w:t>Dass die Beschwerdeführerin im vorliegend massgeblichen Zeitpunkt nicht mehr Inverkehrbringerin des Produktes X._______ ist, wird von der Vorinstanz aufgrund des soeben Dargelegten zu Recht nicht bestritten. Mit der Eröffnung eines neuen Kontrollverfahrens gegenüber der neuen Inverkehrbringerin für die nach dem 1. Januar 2015 in Verkehr gebrachten Produkte bestätigt die Vorinstanz zudem implizit selber, dass die Be­schwerdeführerin vorliegend nicht mehr Inverkehrbringerin des bean­standeten Produkts ist (vgl. Verfügung, act. 1 S. 103 f. Ziff. 3.5.2, 3.5.3 und 3.5.4 jeweils in fine; BVGer-act. 3 und 9). Dementsprechend ist in diesem Zusammenhang auch der Verweis der Vorinstanz auf die Nachmarkt­pflichten - insbesondere auf diejenigen gemäss Art. 10 Abs. 1 PrSV - der Beschwerdeführerin nicht einleuchtend, entstehen diese rein begriffs­logisch erst nachdem die Produkte in Verkehr gebracht wurden (vgl. dazu Hans-Joachim Hess, a.a.O., Art. 8 N. 1 ff.; vgl. auch Botschaft PrSG S. 7441). Wie jedoch bereits dargelegt wurde, will die Vorinstanz mit Dispositiv Ziffer 2 der Verfügung lediglich das weitere (künftige) Inver­kehrbringen unterbinden. Im Weiteren kann den Erwägungen der Verfü­gung entnommen werden, dass die Vorinstanz auf die Anordnung weiterer Massnahmen, welche tatsächlich den Nachmarktpflichten zuzuordnen wären (z.B. zu publizierende Warnhinweise, Rücknahme oder Rückruf des Produkts), vorliegend explizit verzichtet hat (vgl. E. Ziff. 3.7 der Verfügung vom 14. Juli 2015). Daher kann auch die Frage offengelassen werden, ob die Beschwerdeführerin hin­sichtlich der von ihr vor dem 31. Dezember 2014 in Verkehr gebrachten Produkte nach der aufgrund des Verkaufs erfolgten Aufgabe der Geschäfts­tätigkeit überhaupt noch Nachmarkt­pflichten treffen (vgl. zu dieser Frage unter anderem den FAQ-Katalog des SECO auf S. 9 Ziff. D.2, abrufbar unter www.seco.admin.ch &gt; Themen &gt; Arbeit &gt; Produktsicherheit &gt; FAQ, zuletzt besucht am 24. November 2015).</w:t>
      </w:r>
    </w:p>
    <w:p>
      <w:r>
        <w:rPr>
          <w:b/>
        </w:rPr>
        <w:t>E. 3.3.3</w:t>
      </w:r>
    </w:p>
    <w:p>
      <w:r>
        <w:t>Aufgrund des Dargelegten erweist sich das mittels der angefoch­tenen Verfügung gegenüber der nicht mehr als Inverkehrbringerin tätigen Be­schwerdeführerin auferlegte Verbot des Inverkehrbringens von X._______ als untauglich. Die Vorinstanz hat diese Verpflichtungen eindeutig der falschen materiellen Adressatin auferlegt. Folglich kann vorliegend auf weitere Instruktionsmassnahmen bzw. auf die Erhebung weiterer Beweise verzichtet und direkt ein Endurteil gefällt werden (zur antizipierten Beweis­würdigung vgl.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4</w:t>
      </w:r>
    </w:p>
    <w:p>
      <w:r>
        <w:t>Im Folgenden bleibt zu prüfen, ob aufgrund der vorangehenden Er­wägungen die ganze Verfügung aufzuheben ist.</w:t>
      </w:r>
    </w:p>
    <w:p>
      <w:r>
        <w:rPr>
          <w:b/>
        </w:rPr>
        <w:t>E. 4.1</w:t>
      </w:r>
    </w:p>
    <w:p>
      <w:r>
        <w:t>Der Anfechtungsgegenstand wird grundsätzlich durch die angefoch­tene Verfügung vom 14. Juli 2015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 In der Verwaltungs­verfügung festgelegte - somit Teil des Anfechtungsgegenstan­des bildende -, aber aufgrund der Beschwerde­begehren nicht mehr streitige - somit nicht zum Streitgegenstand zählende - Fragen prüft das Gericht nur, wenn die nichtbeanstandeten Punkte in engem Sachzusam­menhang mit dem Streitgegenstand stehen (vgl. BGE 122 V 242 E. 2a; 117 V 294 E. 2a; 110 V 48 E. 3c).</w:t>
      </w:r>
    </w:p>
    <w:p>
      <w:r>
        <w:rPr>
          <w:b/>
        </w:rPr>
        <w:t>E. 4.2</w:t>
      </w:r>
    </w:p>
    <w:p>
      <w:r>
        <w:t>Die Beschwerdeführerin hat vorliegend in materieller Hinsicht lediglich die Aufhebung der Ziffern 4 und 5 des Dispositivs beantragt. Da ins­besondere Dispositiv-Ziffer 4 in direktem Zusammenhang mit Dispositiv Ziffer 2 steht, ist ein enger Sach­zusammenhang mit den ausserhalb des Streitgegenstands stehenden nicht angefochtenen Dispositiv-Ziffern 1 und 2 gegeben. Wie bereits dargelegt, hat die Vorinstanz die Verpflichtungen vorliegend der falschen materiellen Adressatin auferlegt. Daher ist die Beschwerde gutzuheissen und die angefochtene Verfügung der Vorinstanz vom 14. Juli 2015 vollumfänglich aufzuheben.</w:t>
      </w:r>
    </w:p>
    <w:p>
      <w:r>
        <w:rPr>
          <w:b/>
        </w:rPr>
        <w:t>E. 5</w:t>
      </w:r>
    </w:p>
    <w:p>
      <w:r>
        <w:t>Bei diesem Ausgang des Verfahrens fällt mit Erlass des vorliegenden Urteils der Verfahrens­antrag auf Wiederherstellung der aufschiebenden Wirkung der Beschwere wegen Gegenstandslosigkeit dahin und ist ent­sprechend abzuschreiben.</w:t>
      </w:r>
    </w:p>
    <w:p>
      <w:r>
        <w:rPr>
          <w:b/>
        </w:rPr>
        <w:t>E. 6</w:t>
      </w:r>
    </w:p>
    <w:p>
      <w:r>
        <w:t>Zusammenfassend ist festzuhalten, dass ein Verbot des Inverkehrbringens nur für die Zukunft gelten kann und gegenüber der Inverkehrbringerin auszusprechen ist. Da die Beschwerdeführerin aufgrund des Verkaufs von X._______ und der daraus folgenden vertraglichen Verpflichtung ihre Ge­schäftstätigkeit aufgegeben hat, gilt sie nicht mehr als Inverkehrbringen des beanstandeten Produktes. Dementsprechend hat die Vorinstanz die Verpflichtungen vorliegend der falschen materiellen Adressatin auferlegt. Aufgrund antizipierter Beweiswürdigung kann vorliegend auf weitere Beweismassnahmen verzichtet werden. Demnach ist die Beschwerde vom 6. August 2015 gutzuheissen und die Verfügung vom 14. Juli 2015 aufzuheben. Mit dem Erlass des vorliegenden Urteils wird der Verfahrens­antrag auf Wiederherstellung der aufschiebenden Wirkung der Beschwer­de gegenstandslos.</w:t>
      </w:r>
    </w:p>
    <w:p>
      <w:r>
        <w:rPr>
          <w:b/>
        </w:rPr>
        <w:t>E. 7</w:t>
      </w:r>
    </w:p>
    <w:p>
      <w:r>
        <w:t>Bleibt noch über die Verfahrenskosten und eine allfällige Parteient­schädigung für das vorliegende Verfahren zu befinden.</w:t>
      </w:r>
    </w:p>
    <w:p>
      <w:r>
        <w:rPr>
          <w:b/>
        </w:rPr>
        <w:t>E. 7.1</w:t>
      </w:r>
    </w:p>
    <w:p>
      <w:r>
        <w:t>Das Bundesverwaltungsgericht auferlegt gemäss Art. 63 Abs. 1 VwVG die Verfahrenskosten in der Regel der unterliegenden Partei. Als ob­siegende Partei hat die Beschwerdeführerin keine Kosten zu tragen. Der unter­liegenden Vorinstanz können ebenfalls keine Verfahrenskosten auferlegt werden (Art. 63 Abs. 2 VwVG).</w:t>
      </w:r>
    </w:p>
    <w:p>
      <w:r>
        <w:rPr>
          <w:b/>
        </w:rPr>
        <w:t>E. 7.2</w:t>
      </w:r>
    </w:p>
    <w:p>
      <w:r>
        <w:t>Die obsiegende Beschwerdeführerin hat gemäss Art. 64 Abs. 1 VwVG in Verbindung mit Art. 7 ff. des Reglements vom 21. Februar 2008 über die Kosten und Entschädigungen vor dem Bundesverwaltungsgericht (VGKE, SR 173.320.2) Anspruch auf eine Parteientschädigung für die ihr erwachsenen notwendigen und verhältnismässig hohen Kosten (vgl. auch Art. 7 ff.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und Mehrwertsteuer; Art. 9 Abs. 1 in Verbindung mit Art. 10 Abs. 2 VGKE) zu Lasten der Vorinstanz angemessen. (Dispositiv auf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