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C-4782/2011 vom 13. Juni 2013</w:t>
      </w:r>
    </w:p>
    <w:p>
      <w:r>
        <w:t>Bundesverwaltungsgericht, 2013-06-13, FR</w:t>
      </w:r>
    </w:p>
    <w:p>
      <w:r>
        <w:rPr>
          <w:b/>
        </w:rPr>
        <w:t xml:space="preserve">Quelle: </w:t>
      </w:r>
      <w:r>
        <w:t>https://mcp.opencaselaw.ch/entscheid/bvger_C-4782_2011</w:t>
      </w:r>
    </w:p>
    <w:p>
      <w:r>
        <w:t>FR: TAF C-4782/2011 du 13 juin 2013</w:t>
      </w:r>
    </w:p>
    <w:p>
      <w:r>
        <w:t>IT: TAF C-4782/2011 del 13 giugno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Bâle 2008, p. 181, ad ch. 3.197). Aussi peut-elle admettre ou rejeter le pourvoi pour d'autres motifs que ceux invoqués. Dans le cadre de la procédure de recours, le Tribunal applique d'office le droit fédéral. Dans son arrêt, il prend en considération l'état de fait régnant au moment où il statue (cf. ATAF 2011/1 consid. 2).</w:t>
      </w:r>
    </w:p>
    <w:p>
      <w:r>
        <w:rPr>
          <w:b/>
        </w:rPr>
        <w:t>E. 3</w:t>
      </w:r>
    </w:p>
    <w:p>
      <w:r>
        <w:t>Le recourant fait valoir préliminairement que son droit d'être entendu a été violé par l'autorité inférieure, au motif que la décision querellée du 29 novembre 2010 est insuffisamment motivée (cf. mémoire de recours, p. 4ss).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Waldmann / Weissenberger [éd.], Praxiskommentar VwVG, Zurich 2009, ad art. 29 nos 28ss et 106ss, et réf. cit.).</w:t>
      </w:r>
    </w:p>
    <w:p>
      <w:r>
        <w:rPr>
          <w:b/>
        </w:rPr>
        <w:t>E. 3.1</w:t>
      </w:r>
    </w:p>
    <w:p>
      <w:r>
        <w:t>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voir également arrêt du Tribunal fédéral 5A_336/2010 du 30 juillet 2010 consid. 2.1; ATAF 2009/35 consid. 6.4.1 et réf. cit.).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Tribunal fédéral 6B_518/2009 du 29 septembre 2009 consid. 2.5 et 1C_35/2009 du 29 mai 2009 consid. 3). 3.2 En l'occurrence, même si la motivation de la décision querellée du 29 novembre 2010 est certes succincte, il n'en demeure pas moins que l'ODM s'est référé aux principaux éléments de la situation de A._______ sur le plan pénal, ces derniers ayant justifié, selon l'autorité de première instance, le prononcé d'une mesure d'éloignement au sens de l'art. 67 LEtr. En effet, l'ODM a retenu que le prénommé avait porté atteinte et mis en danger la sécurité et l'ordre publics pour avoir fait l'objet en Suisse de "très graves" condamnations pénales et a énuméré dans sa décision le type des délits commis (vol par métier et en bande, brigandage, dommages à la propriété, violation de domicile, violation grave des règles de la circulation routière). Au vu de ce qui précède, force est d'admettre que A._______ a été en mesure de saisir les points essentiels sur lesquels l'autorité inférieure s'était fondée pour justifier sa position. Preuve en est le mémoire de recours relativement circonstancié qu'il a été amené à déposer le 30 août 2011. 3.3 En tout état de cause, même s'il convenait de conclure à une violation par l'ODM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ch. 2 supra). En outre, le recourant a eu la faculté de présenter tous ses moyens au cours de la présente procédure. A noter également que l'autorité inférieure a explicité sa motivation dans le cadre de l'échange d'écritures (cf. prise de position du 12 janvier 2012). Le recourant aurait ensuite eu la possibilité de formuler ses déterminations complémentaires, de déposer ses moyens de preuve et de faire entendre son point de vue à satisfaction de droit au sens de la jurisprudence (cf. notamment ATF 125 I 209 consid. 9a, 116 V 28 consid. 4b), faculté dont il n'a cependant pas fait usage dans le délai imparti (cf. ordonnance du Tribunal du 23 janvier 2012). Il suit de là que le moyen tiré d'une motivation insuffisante de la décision entreprise doit être écarté.</w:t>
      </w:r>
    </w:p>
    <w:p>
      <w:r>
        <w:rPr>
          <w:b/>
        </w:rPr>
        <w:t>E. 4.1</w:t>
      </w:r>
    </w:p>
    <w:p>
      <w:r>
        <w:t>Une nouvelle teneur de l'art. 67 LEtr, résultant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w:t>
      </w:r>
    </w:p>
    <w:p>
      <w:r>
        <w:rPr>
          <w:b/>
        </w:rPr>
        <w:t>E. 4.2</w:t>
      </w:r>
    </w:p>
    <w:p>
      <w:r>
        <w:t>En l'occurrence, il convient d'examiner si les éléments de fait pris en compte par l'ODM tombent sous le coup de la disposition en vigueur sans que l'application de cette dernière soit prohibée par le principe de non-rétroactivité. Dans ce contexte, il y a lieu de tenir compte de la nouvelle limite fixée à cinq ans pour la durée maximale de l'interdiction d'entrée, sauf menace grave pour la sécurité et l'ordre publics (cf. art. 67 al. 3 LEtr). L'ODM a fondé la décision querellée du 29 novembre 2010 (cf. p. 2) sur l'ancien art. 67 al. 1 let. a LEtr. Or, il est manifeste que, par son comportement, A._______ a attenté à la sécurité et à l'ordre publics en Suisse (cf. infra consid. 6), de sorte que les conditions mises à l'application de cette disposition (tant dans son ancienne version que dans sa nouvelle version, soit l'art. 67 al. 2 let. a LEtr) sont incontestablement remplies in casu. Par ailleurs, la durée de ladite mesure a été fixée à plus de cinq ans. Il paraît utile de rappeler ici que l'art. 13 de la fédérale sur le séjour et l'établissement des étrangers du 26 mars 1931 (LSEE, RS 1 113) ne prévoyait pas une durée limitée de la mesure d'éloignement pour les étrangers indésirables, tout comme, d'ailleurs, l'ancienne version de l'art. 67 al. 3 LEtr dans les cas graves. Le nouvel art. 67 al. 3 LEtr prévoit, quant à lui, une durée de la mesure plus longue que cinq ans lorsque la personne concernée constitue (comme c'est le cas en l'espèce - cf. infra) une menace grave pour la sécurité et l'ordre publics. Même si la terminologie est différente dans la nouvelle version de l'art. 67 al. 3 LEtr, cette différence n'implique pas que l'autorité ne peut pas prononcer une mesure d'éloignement d'une durée indéterminée, pour autant que les circonstances du cas le justifient. Cette adaptation sémantique n'emporte toutefois aucune modification de la teneur au fond de la nouvelle disposition par rapport à l'ancien art. 67 al. 3, et à l'art. 13 LSEE. Aussi l'application du nouveau droit aux éléments de fait ne pose-t-elle pas de problème de rétroactivité proprement dite dans le cas d'espèce.</w:t>
      </w:r>
    </w:p>
    <w:p>
      <w:r>
        <w:rPr>
          <w:b/>
        </w:rPr>
        <w:t>E. 5.1</w:t>
      </w:r>
    </w:p>
    <w:p>
      <w:r>
        <w:t>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Sur la portée territoriale de cette mesure concernant les personnes non-ressortissantes d'un Etat partie aux Accords d'association à Schengen, il y a lieu de se référer à l'arrêt du Tribunal administratif fédéral C-1667/2010 du 21 mars 2011 (consid. 3.3). Si des raisons humanitaires ou d'autres motifs importants le justifient, l'autorité appelée à statuer peut s'abstenir de prononcer une interdiction d'entrée ou suspendre provisoirement ou définitivement une interdiction d'entrée (art. 67 al. 5 LEtr).</w:t>
      </w:r>
    </w:p>
    <w:p>
      <w:r>
        <w:rPr>
          <w:b/>
        </w:rPr>
        <w:t>E. 5.2</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arrêts du Tribunal administratif fédéral C-661/2011 du 6 juin 2012 consid. 8.2 et C-6801/2010 du 1er avril 2011 consid. 4).</w:t>
      </w:r>
    </w:p>
    <w:p>
      <w:r>
        <w:rPr>
          <w:b/>
        </w:rPr>
        <w:t>E. 5.3</w:t>
      </w:r>
    </w:p>
    <w:p>
      <w:r>
        <w:t>Concernant plus spécifiquement les notions de sécurité et d'ordre publics, qui sont par ailleurs à la base de la motivation de la décision querellée du 29 novembre 2010,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5.4</w:t>
      </w:r>
    </w:p>
    <w:p>
      <w:r>
        <w:t>Selon la jurisprudence du Tribunal, une peine privative de liberté est considérée comme de longue durée lorsqu'elle dépasse un an d'emprisonnement (cf. ATF 137 II 297 consid. 2.1 et jurispr. cit.), indépendamment du fait qu'elle ait été prononcée avec un sursis complet ou partiel, respectivement sans sursis (cf. notamment arrêts du Tribunal fédéral 2C_935/2012 du 14 janvier 2013 consid. 4.2, 2C_817/2011 du 13 mars 2012 consid. 3.1.1 et 2C_295/2011 du 30 août 2011 consid. 3.1). En outre, la peine privative de liberté de longue durée au sens de cette disposition ne peut résulter de l'addition de peines plus courtes (cf. notamment ATF 137 II précité, consid. 2.3.6). Il n'y a aucune raison de s'écarter de cette définition, in casu, qui peut donc être reprise mutatis mutandis pour l'interprétation de l'art. 67 al. 3 LEtr (cf. arrêt du Tribunal administratif fédéral C-599/2012 du 13 novembre 2012 consid. 5.3).</w:t>
      </w:r>
    </w:p>
    <w:p>
      <w:r>
        <w:rPr>
          <w:b/>
        </w:rPr>
        <w:t>E. 5.5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 Rudin/ Hugi Yar/ Geiser [éd.], Ausländerrecht, 2ème éd., Bâle 2009, ch. 8.80, p. 356).</w:t>
      </w:r>
    </w:p>
    <w:p>
      <w:r>
        <w:rPr>
          <w:b/>
        </w:rPr>
        <w:t>E. 6</w:t>
      </w:r>
    </w:p>
    <w:p>
      <w:r>
        <w:t>En l'occurrence, l'ODM a prononcé à l'encontre de A._______ une décision d'interdiction d'entrée en Suisse d'une durée indéterminée, estimant que celui-ci avait porté atteinte à la sécurité et l'ordre publics pour avoir fait l'objet de "très graves" condamnations pénales en Suisse.</w:t>
      </w:r>
    </w:p>
    <w:p>
      <w:r>
        <w:rPr>
          <w:b/>
        </w:rPr>
        <w:t>E. 6.1</w:t>
      </w:r>
    </w:p>
    <w:p>
      <w:r>
        <w:t>L'examen du dossier montre que A._______ a été condamné une première fois en août 1993 à une peine de vingt mois d'emprisonnement, notamment pour infraction grave à la législation sur les stupéfiants. En décembre 2001, une peine de dix-huit mois d'emprisonnement a été prononcée contre lui, notamment pour vol en bande et par métier. Au mois de février 2005, le recourant a été condamné à une peine d'emprisonnement de deux ans - qui a été ramenée à vingt-deux mois par la Cour de cassation pénale -, notamment pour vol en bande et par métier, ainsi que pour complicité de brigandage (cf. supra let. B, C et D). Il appert ainsi que le recourant a été condamné, à chaque fois, à des peines privatives de liberté de longue durée, au sens de la jurisprudence évoquée plus haut (cf. ch. 5.3). Il est important de souligner ici que le Tribunal fédéral, dans son arrêt du 8 janvier 2009 portant sur l'expulsion administrative de A._______, a retenu que ce dernier avait été condamné à plusieurs reprises à des peines privatives de liberté "pour des infractions dont la gravité ne saurait être minimisée", cela d'autant moins qu'il avait commis certaines de ces infractions durant la période probatoire accordée par la Commission de libération (cf. arrêt 2C_661/2008 du 8 janvier 2009 consid. 4.2 in fine). A ce stade, le Tribunal tient à rappeler qu'il existe un intérêt public prépondérant à l'éloignement d'un étranger ayant commis des actes de violence d'une certaine gravité, même lorsque cet étranger vit en Suisse depuis de longues années (cf. ATF 130 II 176 consid. 4.4.2). En l'espèce, les agissements de A._______ ayant conduit à ses condamnations pénales sont indiscutablement susceptibles d'affecter un intérêt fondamental de la société, en particulier ceux ayant conduit à sa première condamnation à vingt mois d'emprisonnement, pour avoir notamment enfreint gravement la législation sur les stupéfiants (cf. let. B supra). Selon la jurisprudence du Tribunal fédéral en effet, il y a lieu de faire preuve d'une sévérité particulière à l'égard des trafiquants de drogue étrangers, ces derniers devant s'attendre à faire l'objet de mesures d'éloignement sur le plan administratif (cf. ATF 125 II 521 consid. 4a/aa, 122 II 433 consid. 2c; arrêt 2C_858/2008 du 24 avril 2009 consid. 6.2). Par ailleurs, les deux autres condamnations pénales subies par l'intéressé en 2001 et 2005 constituent indubitablement une circonstance aggravante et un indice que tout risque de récidive ne peut pas être exclu en l'espèce, quand bien même les infractions retenues contre l'intéressé revêtaient une gravité moindre. Cela étant, au vu de la nature, de la gravité et du nombre considérable des actes délictueux commis par le recourant durant sa présence sur le territoire suisse, le Tribunal estime qu'un pronostic favorable ne saurait en l'état être retenu quant à son comportement futur en ce pays. Aussi l'opinion du recourant selon laquelle "la peine infligée lui a servi de leçon" et le risque de récidive "extrêmement limité" (cf. mémoire de recours, p. 7) ne saurait-elle être partagée, nonobstant le fait que sa dernière peine privative de liberté remonte à 2005 déjà. Dans ce contexte, le recourant soutient que les faits qui lui sont reprochés ont eu lieu en 2002 et qu'il n'a plus occupé les services de police depuis lors (cf. ibid., p. 6). Cette affirmation s'avère inexacte dans la mesure où il appert du dossier que l'intéressé a encore perpétré certains actes délictueux (tentative de vol et dommages à la propriété) en 2004 (cf. extrait du casier judiciaire suisse tiré le 26 novembre 2010). Quant à l'argument tiré du fait que la condamnation pénale subie en 2005 fait état d'une responsabilité restreinte de A._______ en raison de son addiction aux jeux de hasard (cf. mémoire de recours, p. 6), il doit également être écarté. Le Tribunal fédéral a en effet considéré que l'on ne saurait voir dans cette pathologie "la cause unique de son comportement délictueux" (cf. arrêt 2C_661/2008 précité, consid. 4.2 ). 6.2 Au vu de ce qui précède, le Tribunal de céans estime que le recourant, par la commission de nombreux et graves actes qui ont été sanctionnés pénalement, a indiscutablement attenté gravement à la sécurité et à l'ordre publics, de sorte qu'il remplit les conditions d'application des art. 67 al. 2 let. a et 67 al. 3 LEtr.</w:t>
      </w:r>
    </w:p>
    <w:p>
      <w:r>
        <w:rPr>
          <w:b/>
        </w:rPr>
        <w:t>E. 7</w:t>
      </w:r>
    </w:p>
    <w:p>
      <w:r>
        <w:t>7.1 Dans son pourvoi, le recourant soutient que la décision d'interdiction d'entrée viole l'art. 8 CEDH qui lui confère le droit au respect de sa vie privée et familiale. A ce propos, il expose qu'il a vécu durant dix-sept ans en Suisse avec son épouse et leurs trois enfants, en ajoutant que les époux sont toujours mariés et qu'ils n'aspirent qu'à pouvoir vivre sous le même toit (cf. mémoire de recours, p. 6).</w:t>
      </w:r>
    </w:p>
    <w:p>
      <w:r>
        <w:rPr>
          <w:b/>
        </w:rPr>
        <w:t>E. 7.2</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(cf. ATF 135 I précité consid. 1.3.2). L'art. 13 al. 1 de la Constitution fédérale de la Confédération suisse du 18 avril 1999 (Cst., RS 101) garantit la même protection (cf. ATF 129 II 215 consid. 4.2). 7.3 A titre préalable, il y a lieu de noter que l'impossibilité pour A._______ de mener durablement une vie familiale en Suisse ne résulte pas primairement de la mesure attaquée, mais découle au contraire du fait qu'il n'est pas titulaire d'une autorisation de séjour en ce pays. En effet, comme déjà exposé ci-dessus, par arrêt du 8 janvier 2009, le Tribunal fédéral a confirmé la décision du 13 août 2008, par laquelle le Département de l'intérieur du canton de Vaud avait rendu une mesure d'expulsion administrative d'une durée indéterminée à l'encontre de l'intéressé (cf. let. E supra), de sorte que celle-ci est entrée en force. Il s'ensuit que l'appréciation de la situation de A._______, qui est susceptible d'être opérée sous l'angle de l'art. 8 CEDH dans le cadre de la présente procédure, ne vise qu'à examiner si l'interdiction d'entrée prononcée à l'endroit du prénommé complique de façon disproportionnée le maintien des relations familiales de ce dernier avec ses proches domiciliés en Suisse, pour autant que ceux-ci puissent être compris dans le cercle des personnes visées par la disposition précitée. Au demeurant, le Tribunal fédéral a considéré dans l'arrêt 2C_661/2008 précité (consid. 4.2 in fine) que le droit à la vie de famille découlant de l'art. 8 CEDH n'avait pas été violé en l'espèce. En tout état de cause, il est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Au vu de la nature, de la gravité et du nombre considérable des actes pour lesquels A._______ a été sanctionné pénalement durant son séjour dans le canton de Vaud, force est d'admettre que l'intérêt public à son éloignement de Suisse prévaut sur l'intérêt privé contraire à pouvoir entretenir des relations familiales sur le territoire de ce pays. Partant, la décision d'interdiction d'entrée prise à l'encontre du recourant le 29 novembre 2010 apparaît comme justifiée également au regard de cette disposition conventionnelle et de la jurisprudence en la matière. 8.Il convient encore d'examiner si la mesure d'éloignement prise par l'ODM satisfait aux principes de la proportionnalité et de l'égalité de traitement. 8.1 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C-599/2012 du 13 novembre 2012,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jurispr. cit.). Les éléments à prendre en compte, indépendamment de la gravité de la faute commise, auront trait à la durée du séjour de l'étranger concerné, à son intégration, à sa situation personnelle et familiale et au préjudice qu'il aura à subir du fait de son éloignement forcé de Suisse. 8.2 En l'espèce, force est de constater une fois encore que les infractions imputées au recourant sont objectivement graves. Apprécié sous l'angle de la protection de l'ordre et de la prévention des infractions, le comportement délictueux de A._______ nécessite une intervention adéquate des autorités fédérales à son endroit. Le fait qu'il a subi durant son séjour en Suisse trois peines privatives de liberté totalisant cinq années est à cet égard tout à fait révélateur et témoigne d'un intérêt public indéniable à l'éloigner du territoire helvétique pour une longue durée. Il est à noter que les actes relativement graves pour lesquels l'intéressé a été condamné en Suisse justifient une intervention ferme des autorités. On ne saurait en effet passer sous silence le fait que A._______ a déployé une activité délictuelle en Suisse s'étendant sur plusieurs années (de 2000 à 2004). L'intérêt public à le maintenir éloigné de Suisse est en conséquence important. 8.3 Au vu de l'ensemble des éléments objectifs et subjectifs de la cause, le Tribunal estime que l'interdiction d'entrée prononcée par l'autorité inférieure est adéquate et que sa durée indéterminée respecte le principe de proportionnalité. Ainsi, quand bien même aucune limite temporelle n'est fixée pour la validité de l'interdiction d'entrée, cette décision n'étend pas ses effets de manière illimitée. En effet, A._______ conserve la faculté de solliciter de l'ODM dans le futur qu'il réexamine la décision prononcée à son endroit. S'il devait s'avérer que l'ordre et la sécurité publics n'exigent plus le maintien de l'interdiction d'entrée, l'ODM pourrait alors revenir sur sa décision (cf. à ce sujet l'arrêt du Tribunal fédéral 2C_487/2012 du 2 avril 2013 consid. 4.5.3). Toutefois, le Tribunal juge difficilement concevable, en l'état actuel des choses, que cet office entre en matière sur une telle demande tant que l'intéressé n'aura pas respecté pendant un laps de temps équivalant à plusieurs années l'éloignement du territoire helvétique imposé par cette mesure administrative, démontré qu'il s'est ainsi amendé durablement et rendu hautement crédible qu'il a rompu de manière définitive avec le milieu de la délinquance, de sorte que tout risque de le voir commettre de nouvelles infractions en Suisse puisse être écarté de manière quasi certaine.</w:t>
      </w:r>
    </w:p>
    <w:p>
      <w:r>
        <w:rPr>
          <w:b/>
        </w:rPr>
        <w:t>E. 9</w:t>
      </w:r>
    </w:p>
    <w:p>
      <w:r>
        <w:t>Il ressort de ce qui précède que, par sa décision du 29 novembre 2010, l'ODM n'a ni violé le droit fédéral, ni constaté des faits pertinents de manière inexacte ou incomplète; en outre, cette décision n'est pas inopportune (art. 49 PA). Le recours est en conséquence rejeté. Vu l'issue de la cause, il y a lieu de mettre les frais de procédure à la charge du recourant, conformément à l'art. 63 al. 1 PA en relation avec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