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C-4781/2008 vom 28. Juni 2010</w:t>
      </w:r>
    </w:p>
    <w:p>
      <w:r>
        <w:t>Bundesverwaltungsgericht, 2010-06-28, DE</w:t>
      </w:r>
    </w:p>
    <w:p>
      <w:r>
        <w:rPr>
          <w:b/>
        </w:rPr>
        <w:t xml:space="preserve">Quelle: </w:t>
      </w:r>
      <w:r>
        <w:t>https://mcp.opencaselaw.ch/entscheid/bvger_C-4781_2008</w:t>
      </w:r>
    </w:p>
    <w:p>
      <w:r>
        <w:t>FR: TAF C-4781/2008 du 28 juin 2010</w:t>
      </w:r>
    </w:p>
    <w:p>
      <w:r>
        <w:t>IT: TAF C-4781/2008 del 28 giugno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die zu den Vorinstanzen des Bundesverwaltungsgerichts gehört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38 ff. und Art. 60 ATSG). Als Adressatin der angefochtenen Verfügung ist die Beschwerdeführerin berührt und hat ein schutzwürdiges Interesse an deren Aufhebung oder Änderung (vgl. Art. 59 ATSG). Nachdem auch der Kostenvorschuss geleistet wurde, ergibt sich zusammenfassend, dass sämtliche Prozessvoraussetzungen erfüllt sind. Auf die Beschwerde ist deshalb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Anfechtungsobjekt bildet die Verfügung der Vorinstanz vom 26. Mai 2008, mit welcher der Rentenanspruch der Beschwerdeführerin bei einem IV-Grad von 31 % abgewiesen wurden. Streitig und zu prüfen ist, ob die Abweisung zu Recht erfolgt war. Hingegen nicht streitig ist der Status der im Haushalt tätigen Beschwerdeführerin.</w:t>
      </w:r>
    </w:p>
    <w:p>
      <w:r>
        <w:rPr>
          <w:b/>
        </w:rPr>
        <w:t>E. 2.1</w:t>
      </w:r>
    </w:p>
    <w:p>
      <w:r>
        <w:t>In materiellrechtlicher Hinsicht sind grundsätzlich diejenigen Rechtssätze massgebend, die bei der Erfüllung des zu Rechtsfolgen führenden Tatbestands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26. Mai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2.3</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w:t>
      </w:r>
    </w:p>
    <w:p>
      <w:r>
        <w:rPr>
          <w:b/>
        </w:rPr>
        <w:t>E. 2.4</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Meldet sich eine versicherte Person mehr als zwölf Monate nach der Entstehung eines Leistungsanspruchs an, so werden IV-Leistungen gemäss Art. 48 Abs. 2 IVG (in der bis zum 31. Dezember 2007 gültig gewesenen Fassung) lediglich für die der Anmeldung vorangehenden zwölf Monate ausgerichtet - abgesehen von einer Ausnahme, die vorliegend ohne Belang ist. Vorliegend ist demnach zu prüfen, ob die Beschwerdeführerin am 2. November 2005, d.h. zwölf Monate vor der Antragstellung (Eingangsdatum; vgl. Bst. A. hiervor), Anspruch auf Leistungen der IV hat oder ob ein solcher Anspruch danach bis zum Erlass der angefochtenen Verfügung (26. Mai 2008) entstanden ist.</w:t>
      </w:r>
    </w:p>
    <w:p>
      <w:r>
        <w:rPr>
          <w:b/>
        </w:rPr>
        <w:t>E. 2.5</w:t>
      </w:r>
    </w:p>
    <w:p>
      <w:r>
        <w:t>Bei den nichterwerbstätigen Versicherten im Sinne von Art. 5 Abs. 1 IVG i.V.m. Art. 8 Abs. 3 ATSG, welche im Aufgabenbereich tätig sind und denen die Aufnahme einer Erwerbstätigkeit nicht zugemutet werden kann, ist ein Betätigungsvergleich vorzunehmen und für die Bemessung der Invalidität in Abweichung von Art. 16 ATSG darauf abzustellen, in welchem Masse sie behindert sind, sich im Aufgabenbereich zu betätigen (aArt. 28 Abs. 2bis IVG bzw. seit 1. Januar 2008 Art. 28a Abs. 2 IVG; spezifische Methode; BGE 104 V 135 E. 2a). Als Aufgabenbereich der im Haushalt tätigen Versicherten gelten insbesondere die übliche Tätigkeit im Haushalt, die Erziehung der Kinder sowie gemeinnützige und künstlerische Tätigkeiten (Art. 27 IVV). Der gesamte Aufgabenbereich der im Haushalt tätigen Versicherten entspricht in jedem Fall einem Wert von 100 %. Die Gewichtung der einzelnen Teilbereiche der Haushaltführung hat sodann nach Massgabe der Verwaltungsweisungen zu erfolgen. Hernach ist die gesundheitlich bedingte Einschränkung in den einzelnen Teilbereichen festzustellen, woraus sich schliesslich der Invaliditätsgrad ermitteln lässt (AHI 1997 S. 291 E. 4a).</w:t>
      </w:r>
    </w:p>
    <w:p>
      <w:r>
        <w:rPr>
          <w:b/>
        </w:rPr>
        <w:t>E. 2.6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251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kann indessen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3.1</w:t>
      </w:r>
    </w:p>
    <w:p>
      <w:r>
        <w:t>Gemäss eigener Berichterstattung der Beschwerdeführerin wurden ihr im November 2003 und Mai 2004 jeweils Stents eingesetzt (act. 1). Diese Ausführungen stimmen mit den Arztberichten des Kardiologen Dr. med. F._______ überein (act. 7 bis 10). Die aus diesen Eingriffen resultierende vorübergehende Arbeitsunfähigkeit löste vorliegend keine Eröffnung der Wartezeit nach Art. 29 Abs. 1 lit. b IVG (in der bis 31. Dezember 2007 gültig gewesenen Fassung; Art. 28 Abs. 1 Bst. b IVG in der ab 1. Januar 2008 geltenden Fassung) aus. Mangels anders lautender ärztlicher Unterlagen ist davon auszugehen, dass nach den Stentimplantationen bloss während kurzer Zeit eine vollständige Arbeitsunfähigkeit bestanden hatte. Auch die Versicherte selbst führte aus, dass sie erst seit dem Herzinfarkt vom 31. Januar 2005 an Gedächtnisstörungen leide und bereits bei leichten körperlichen Tätigkeiten eine starke Leistungseinbusse in Form von Müdigkeit, Atemnot und Kopfschmerzen verspüre. Unter diesen Umständen kann mit überwiegender Wahrscheinlichkeit ausgeschlossen werden, dass bereits ab November 2003 bzw. Mai 2004 eine erhebliche Arbeitsunfähigkeit ununterbrochen während mindestens eines Jahres im Sinne von Art. 29ter IVV (vgl. dazu BGE 130 V 97 E. 3.2 mit Hinweisen) bestanden hatte. In diesem Zusammenhang ist schliesslich auch zu erwähnen, dass in Anwendung von Art. 48 Abs. 2 IVG allfällige Leistungen lediglich für die der Anmeldung vorangehenden 12 Monate - somit ab 2. November 2005 (vgl. Bst. A. und E. 2.4 2. Abschnitt hiervor) - ausgerichtet werden könnten. Nachfolgend ist die Frage, ob, und wenn ja, ab wann bei der Beschwerdeführerin eine allfällige rentenbegründende Erwerbsunfähigkeit eingetreten ist, aufgrund der ärztlichen Angaben zu prüfen.</w:t>
      </w:r>
    </w:p>
    <w:p>
      <w:r>
        <w:rPr>
          <w:b/>
        </w:rPr>
        <w:t>E. 3.2</w:t>
      </w:r>
    </w:p>
    <w:p>
      <w:r>
        <w:t>Die Vorinstanz stützte sich im Rahmen des Erlasses der angefochtenen Verfügung insbesondere auf den Bericht von Dr. med. C._______ vom medizinischen Dienst vom 11. Dezember 2007 (act. 28). Es ist deshalb in einem ersten Schritt insbesondere dieser Bericht zu würdigen und zu prüfen, ob sich aufgrund dieses Beweismittels der Sachverhalt in medizinischer Hinsicht als rechtsgenüglich abgeklärt erweist.</w:t>
      </w:r>
    </w:p>
    <w:p>
      <w:r>
        <w:rPr>
          <w:b/>
        </w:rPr>
        <w:t>E. 3.3</w:t>
      </w:r>
    </w:p>
    <w:p>
      <w:r>
        <w:t>Nach Würdigung diverser medizinischer Akten aus dem Ausland (act. 7 bis 26) diagnostizierte Dr. med. C._______, Facharzt für Allgemeinmedizin, eine koronare Herzkrankheit sowie Zustände nach Einsetzung zweier Stents und einer Revaskularisation nach einem Myokardinfarkt im Januar 2005. Er attestierte der Beschwerdeführerin eine Arbeitsunfähigkeit von 31 % ab dem 31. Januar 2005 und führte weiter aus, zufolge der koronaren Herzkrankheit mit mittelschwerer Einschränkung der Herzleistung (linksventrikuläre Auswurffraktion 40 %) seien leichte sitzende, stehende und gemächlich gehende Arbeiten im Haushalt sicher noch zumutbar, zumal die Mitarbeit der Familie verlangt werden dürfe. Eine wesentliche Einschränkung der Arbeitsfähigkeit möge wohl ausserhäuslich zutreffen, innerhäuslich könne sich die Versicherte die Arbeit aber zeitlich einteilen. Eine Arbeitsunfähigkeit von 100 % sei somit nicht nachvollziehbar.</w:t>
      </w:r>
    </w:p>
    <w:p>
      <w:r>
        <w:rPr>
          <w:b/>
        </w:rPr>
        <w:t>E. 3.4</w:t>
      </w:r>
    </w:p>
    <w:p>
      <w:r>
        <w:t>Wie bereits dargelegt wurde (vgl. E. 2.6 hiervor), kann auf Stel-lungnahmen des RAD resp. des medizinischen Dienstes nur unter der Bedingung abgestellt werden, dass sie den allgemeinen beweisrecht-lichen Anforderungen an einen ärztlichen Bericht genügen und zudem die beigezogenen Ärzte über die im Einzelfall gefragten persönlichen und fachlichen Qualifikationen verfügen.</w:t>
      </w:r>
    </w:p>
    <w:p>
      <w:r>
        <w:rPr>
          <w:b/>
        </w:rPr>
        <w:t>E. 3.4.1</w:t>
      </w:r>
    </w:p>
    <w:p>
      <w:r>
        <w:t>Obwohl Dr. med. C._______ als Allgemeinmediziner nicht über einen Facharzttitel auf dem Gebiet der Kardiologie verfügt, kann mit Blick auf die bei der Beschwerdeführerin vorliegenden, nicht polymorbiden Leiden resp. die nicht überaus komplexen Gesundheitsbeeinträchtigungen dennoch auf dessen Stellungnahme abgestellt werden. Unter diesen Umständen konnte auf das Einholen von Berichten entsprechend ausgebildeter Spezialärzte verzichtet werden. Dies insbesondere deshalb, weil Dr. med. C._______ als Allgemeinmediziner durchaus in der Lage gewesen war, die Leiden der Beschwerdeführerin in kardiologischer Hinsicht resp. deren Auswirkungen auf die Arbeits- und Leistungsfähigkeit ausreichend beurteilen zu können, zumal ihm zahlreiche ausländische bildgebende Untersuchungen und Berichte von Kardiologen zur Verfügung gestanden haben.</w:t>
      </w:r>
    </w:p>
    <w:p>
      <w:r>
        <w:rPr>
          <w:b/>
        </w:rPr>
        <w:t>E. 3.4.2</w:t>
      </w:r>
    </w:p>
    <w:p>
      <w:r>
        <w:t>Dr. med. C._______ hielt in seiner Stellungnahme vom 11. Dezember 2007 dafür, dass der Beschwerdeführerin eine leichte sitzende, stehende und gemächlich gehende Arbeit im Haushalt sicher noch zumutbar sei und diese sich die Arbeit zeitlich einteilen könne. Mit anderen Worten gab er hinsichtlich der Arbeits- und Leistungsfähigkeit im Aufgabenbereich Haushalt ein genügend detailliertes und somit rechtsgenügliches Zumutbarkeits- resp. Leistungsprofil ab. Unter diesen Umständen lässt sich seine Beurteilung, wonach eine 100%ige Arbeitsunfähigkeit nicht nachvollziehbar sei, nicht beanstanden.</w:t>
      </w:r>
    </w:p>
    <w:p>
      <w:r>
        <w:rPr>
          <w:b/>
        </w:rPr>
        <w:t>E. 3.4.3</w:t>
      </w:r>
    </w:p>
    <w:p>
      <w:r>
        <w:t>Bezüglich der zumutbaren Restarbeits- und -leistungsfähigkeit besteht zwischen der Beurteilung von Dr. med. C._______ und des Kardiologen Dr. med. G._______ eine grosse Diskrepanz. Da Letzterer seine Beurteilung nicht widerspruchsfrei, schlüssig und somit rechtsgenüglich begründet und kein verlässliches, den Anforderungen der Rechtsprechung genügendes Zumutbarkeitsprofil erstellt hatte, kann auf seinen Bericht vom 26. September 2007 (act. 26) nicht abgestellt werden. Aus denselben Gründen bzw. wegen Fehlens genereller Angaben zur Arbeits- und Leistungsfähigkeit können auch die weiteren Arztberichte aus dem Ausland keine rechtsgenügliche Entscheidgrundlage bilden (act. 7 bis 11, 13 bis 22, 24).</w:t>
      </w:r>
    </w:p>
    <w:p>
      <w:r>
        <w:rPr>
          <w:b/>
        </w:rPr>
        <w:t>E. 3.5</w:t>
      </w:r>
    </w:p>
    <w:p>
      <w:r>
        <w:t>Zusammenfassend ist festzuhalten, dass sich der Gesundheitszustand der Beschwerdeführerin als rechtsgenüglich abgeklärt erweist resp. der Bericht von Dr. med. C._______ vom 11. Dezember 2007 den beweisrechtlichen Anforderungen genügt. Es ist erstellt, dass der Versicherten im Aufgabenbereich Haushalt leichte sitzende, stehende und gemächlich gehende Arbeiten noch (teilweise) zumutbar sind. Hinsichtlich der Bemessung der Invalidität nach der vorliegend zur Anwendung gelangenden spezifischen Methode ergibt sich Folgendes:</w:t>
      </w:r>
    </w:p>
    <w:p>
      <w:r>
        <w:rPr>
          <w:b/>
        </w:rPr>
        <w:t>E. 4.1</w:t>
      </w:r>
    </w:p>
    <w:p>
      <w:r>
        <w:t>Im Rahmen der Bemessung der Invalidität führte Dr. med. C._______ aus, es sei aus medizinischer Sicht nicht nachvollziehbar, weshalb die Haushaltsführung nur mit Hilfe von Hausangestellten möglich sei. Im Zusammenhang mit der Ernährung wäre auch die Zubereitung von Mahlzeiten und das Spülen des Geschirrs möglich. Die Reinigung könne sie andern Personen überlassen. Eine Einschränkung in der Wohnungspflege bestehe, allerdings seien Abwischarbeiten durchaus zumutbar. Auch sei die benötigte Hilfe für die Einkäufe nachvollziehbar. Das Besorgen der Wäsche, das Bügeln sowie das Stricken seien teilweise möglich und die Kinder könnten betreut werden. In Bezug auf die Einschränkungen im Haushalt ging Dr. med. C._______ davon aus, dass die Beschwerdeführerin in der Ernährung, welche insgesamt einen Anteil von 25 % ausmache, zu 20 %, bei der Wohnungspflege zu 60 % (Anteil 15 %), beim Einkauf zu 80 % (Anteil 10 %), bei der Wäsche und Kleiderpflege zu 30 % (Anteil 20 %) und in Verschiedenem zu 10 % (Anteil 25 %) eingeschränkt sei, was insgesamt zu einer (gewichteten) Invalidität von 31 % führe.</w:t>
      </w:r>
    </w:p>
    <w:p>
      <w:r>
        <w:rPr>
          <w:b/>
        </w:rPr>
        <w:t>E. 4.2</w:t>
      </w:r>
    </w:p>
    <w:p>
      <w:r>
        <w:t>Für den Beweiswert eines Berichtes über die Abklärung im Haushalt einer versicherten Person sind - analog zur vorerwähnten Rechtsprechung betreffend die Beweiskraft von Arztberichten (vgl. E. 2.6 hiervor)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[Urteil I 246/05 vom 30. Oktober 2007] nicht publizierte E. 5.2 mit Hinweisen). Trifft all dies zu, ist der Abklärungsbericht voll beweiskräftig. Diese Beweiswürdigungskriterien sind nicht nur für die im Abklärungsbericht enthaltenen Angaben zu Art und Umfang der Behinderung im Haushalt massgebend, sondern gelten analog für den Teil des Abklärungsberichts, der den mutmasslichen Umfang der erwerblichen Tätigkeit von teilerwerbstätigen Versicherten mit häuslichem Aufgabenbereich im Gesundheitsfall betrifft (vgl. Urteil des EVG I 236/2006 vom 19. Juni 2006, E. 3.2 mit Hinweisen). Auch wenn bei den im Ausland wohnenden Versicherten mangels geeigneten Abklärungspersonen keine Haushaltsabklärung (im Sinne einer Abklärung an Ort und Stelle gemäss Art. 69 Abs. 2 IVG) durchgeführt werden kann, muss die Beurteilung einer Beeinträchtigung im Haushalt nach analogen Grundsätzen erfolgen (vgl. Urteile des Bundesverwaltungsgerichts C-5131/2007 vom 16. März 2009, E. 4.2.5, und C-4331/2008 vom 10. November 2009, E. 3.6.2). Ob eine solche Abklärung im einzelnen Fall genügt, ist anhand der konkreten Verhältnisse zu entscheiden.</w:t>
      </w:r>
    </w:p>
    <w:p>
      <w:r>
        <w:rPr>
          <w:b/>
        </w:rPr>
        <w:t>E. 4.3</w:t>
      </w:r>
    </w:p>
    <w:p>
      <w:r>
        <w:t>Die versicherte Person ist gehalten, im Rahmen des Möglichen und Zumutbaren Verfahrensweisen zu entwickeln, welche die Auswirkungen ihrer Behinderung im hauswirtschaftlichen Aufgabenbereich reduzieren und ihr eine möglichst vollständige und unabhängige Erledigung der Haushaltsarbeiten ermöglichen. Kann sie wegen ihrer Behinderung gewisse dieser 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im Haushalt tätigen Person zu berücksichtigende Mithilfe von Familienangehörigen geht daher weiter als die ohne Gesundheitsschädigung üblicherweise zu erwartende Unterstützung (vgl. BGE 133 V 504 E. 4.2 mit Hinweisen).</w:t>
      </w:r>
    </w:p>
    <w:p>
      <w:r>
        <w:rPr>
          <w:b/>
        </w:rPr>
        <w:t>E. 4.4</w:t>
      </w:r>
    </w:p>
    <w:p>
      <w:r>
        <w:t>Die Ermittlung der Einschränkung im Haushalt wurde - wie bei versicherten Personen im Ausland üblich - lediglich gestützt auf die Angaben der Beschwerdeführerin im Fragebogen für die im Haushalt tätigen Versicherten vom 2. Oktober 2007 (act. 5) und unter Berücksichtigung der gesundheitlichen Defizite der Beschwerdeführerin, aber ohne Abklärung an Ort und Stelle, durchgeführt. Die einzelnen Tätig-keiten wurden aufgrund der von der Beschwerdeführerin geschilderten örtlichen und infrastrukturmässigen Verhältnisse von Dr. med. C._______ vernünftig gewichtet und das Ergebnis korrekt, schlüssig und widerspruchsfrei ermittelt. Obwohl dieses Vorgehen somit nicht in allen Punkten den von der Rechtsprechung (für Versicherte in der Schweiz) entwickelten Kriterien genügt, ergibt sich aus den Akten kein Grund, nicht auf die Beurteilung von Dr. med. C._______ abzustellen, da diese zweifellos mit der gebotenen Sorgfalt durchgeführt worden war. Hinsichtlich der Ausführungen der Versicherten, dass die Haushaltführung nur mit Mithilfe von Hausangestellten möglich sei, ist festzuhalten, dass die von der Beschwerdeführerin in Anspruch genommene Hilfe nicht zu einer höheren Einschränkung in den einzelnen Teilbereichen führen kann, sondern aufgrund der Schadenminderungs-pflicht (vgl. E. 4.3 hiervor) bei der Einschätzung der Einschränkungen unberücksichtigt bleiben muss. Aufgrund der schlüssigen und überzeugenden Beurteilung von Dr. med. C._______ ergeben sich keine Hinweise darauf, dass unter den gegebenen Umständen (ausnahmsweise) ein weitergehender invaliditätsbedingter Ausfall angenommen werden müsste (vgl. BGE 133 V 504 E. 4.2 mit diversen Hinweisen; vgl. auch E. 4.3 hiervor). Die bei der Beschwerdeführerin festgestellten Einschränkungen ab dem Zeitpunkt des Myokardinfarkts im Januar 2005 führen somit zu einer durchschnittlichen Arbeitsunfähigkeit im Aufgabenbereich Haushalt von 31%, weshalb die gesetzlichen Voraussetzungen für die Entstehung eines Rentenanspruches nicht erfüllt sind (vgl. E. 2.3 und 2.4 hiervor).</w:t>
      </w:r>
    </w:p>
    <w:p>
      <w:r>
        <w:rPr>
          <w:b/>
        </w:rPr>
        <w:t>E. 5</w:t>
      </w:r>
    </w:p>
    <w:p>
      <w:r>
        <w:t>Zusammenfassend ergibt sich, dass die Vorinstanz gestützt auf den ausführlichen Bericht von Dr. med. C._______ vom 11. Dezember 2007 zu Recht davon ausgegangen ist, dass bei der Beschwerdeführerin keine rentenbegründende Invalidität vorliegt. Die angefochtene Verfügung vom 26. Mai 2008 erweist sich demnach als rechtens, weshalb die dagegen erhobene Beschwerde vom 9. Juli 2008 als unbegründet abzuweisen ist.</w:t>
      </w:r>
    </w:p>
    <w:p>
      <w:r>
        <w:rPr>
          <w:b/>
        </w:rPr>
        <w:t>E. 6</w:t>
      </w:r>
    </w:p>
    <w:p>
      <w:r>
        <w:t>Zu befinden bleibt noch über die Verfahrenskosten und eine allfällige Parteientschädigung.</w:t>
      </w:r>
    </w:p>
    <w:p>
      <w:r>
        <w:rPr>
          <w:b/>
        </w:rPr>
        <w:t>E. 6.1</w:t>
      </w:r>
    </w:p>
    <w:p>
      <w:r>
        <w:t>Gemäss Art. 69 Abs. 1bis in Verbindung mit Art. 69 Abs. 2 IVG (in der seit dem 1. Juli 2006 gültigen Fassung) ist das Beschwerdeverfahren bei Streitigkeiten um die Bewilligung oder die Verweigerung von IV-Leistungen vor dem Bundesverwaltungsgericht kostenpflichtig. Gemäss Art. 63 Abs. 1 VwVG sind die Verfahrenskosten der unterliegenden Partei aufzuerlegen, wobei der geleistete Kostenvorschuss zu berücksichtigen ist. Da die Beschwerdeführerin unterlegen ist, hat sie die Verfahrenskosten zu tragen. Diese sind nach dem Verfahrensaufwand und unabhängig vom Streitwert im Rahmen von 200-1'000 Franken festzulegen (Art. 69 Abs. 1bis IVG). Für das vorliegende Verfahren sind die Verfahrenskosten auf Fr. 300.- festzusetzen. Sie sind mit dem geleisteten Kostenvorschuss von Fr. 300.- zu verrechnen.</w:t>
      </w:r>
    </w:p>
    <w:p>
      <w:r>
        <w:rPr>
          <w:b/>
        </w:rPr>
        <w:t>E. 6.2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r>
        <w:rPr>
          <w:b/>
        </w:rPr>
        <w:t>E. 6.3</w:t>
      </w:r>
    </w:p>
    <w:p>
      <w:r>
        <w:t>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