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C-476/2012 vom 19. Juli 2012</w:t>
      </w:r>
    </w:p>
    <w:p>
      <w:r>
        <w:t>Bundesverwaltungsgericht, 2012-07-19, DE</w:t>
      </w:r>
    </w:p>
    <w:p>
      <w:r>
        <w:rPr>
          <w:b/>
        </w:rPr>
        <w:t xml:space="preserve">Quelle: </w:t>
      </w:r>
      <w:r>
        <w:t>https://mcp.opencaselaw.ch/entscheid/bvger_C-476_2012</w:t>
      </w:r>
    </w:p>
    <w:p>
      <w:r>
        <w:t>FR: TAF C-476/2012 du 19 juillet 2012</w:t>
      </w:r>
    </w:p>
    <w:p>
      <w:r>
        <w:t>IT: TAF C-476/2012 del 19 luglio 2012</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3.2</w:t>
      </w:r>
    </w:p>
    <w:p>
      <w:r>
        <w:t>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oder die Scheidung eingeleitet wird (vgl. dazu und zum vorangehenden BGE 135 II 161 E. 2 S. 165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Bundesverwaltungsgerichts C-3912/2008 vom 8. Juni 2009 E.3.2 mit Hinweisen).</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4.2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2. Mai 2011 E. 5.3 mit Hinweisen).</w:t>
      </w:r>
    </w:p>
    <w:p>
      <w:r>
        <w:rPr>
          <w:b/>
        </w:rPr>
        <w:t>E. 4.4</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Die Rechtsänderung erfolgte ohne eine spezifische übergangsrechtliche Ordnung. Auf der Grundlage allgemeiner übergangsrechtlicher Grundsätze sind daher alle Einbürgerungsfälle, in denen nicht die altrechtliche fünfjährige Verwirkungsfrist vor Inkrafttreten des neuen Rechts abgelaufen ist, dem neuen Recht zu unterwerfen. Dabei ist die unter altem Recht abgelaufene Zeit an die absolute, achtjährige Frist anzurechnen. Was die relative zweijährige Frist anbetrifft, so kann sie als Neuerung ohne Gegenstück im alten Recht frühestens auf den Zeitpunkt des Inkrafttretens des neuen Rechts zu laufen beginnen (vgl. dazu BGE 134 V 353 E. 3.2 S. 356 f. mit Hinweisen).</w:t>
      </w:r>
    </w:p>
    <w:p>
      <w:r>
        <w:rPr>
          <w:b/>
        </w:rPr>
        <w:t>E. 5</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6</w:t>
      </w:r>
    </w:p>
    <w:p>
      <w:r>
        <w:t>Zu den materiellen Voraussetzungen der Nichtigerklärung ist Folgendes zu bemerken:</w:t>
      </w:r>
    </w:p>
    <w:p>
      <w:r>
        <w:rPr>
          <w:b/>
        </w:rPr>
        <w:t>E. 6.1</w:t>
      </w:r>
    </w:p>
    <w:p>
      <w:r>
        <w:t>Die vorliegende Streitsache ist so geartet, dass die Chronologie der Ereignisse keine besonderen Schlüsse auf den Zustand der ehelichen Beziehung zum Zeitpunkt der erleichterten Einbürgerung zulässt. Dafür ist der zeitliche Abstand von drei Jahren zwischen der am 5. Januar 2007 erfolgten erleichterten Einbürgerung des Beschwerdeführers und dem vom Dezember 2009 bzw. Januar 2010 datierten Scheidungsbegehren der Ehegatten zu gross. Auch wenn die näheren Umstände, wie sie sich aus den Akten ergeben bzw. von den geschiedenen Ehegatten behauptet werden, durchaus Fragen aufwerfen mögen (etwa der ausserordentlich grosser Altersunterschied zwischen den Ehegatten oder die ungewöhnlich "Grossmütigkeit" der Ehefrau, als sie von den verborgenen Wünschen des Beschwerdeführers erfuhr), kann die Hypothese nicht als lebensfremd verworfen werden, beim Beschwerdeführer sei während dieser Zeit tatsächlich, wie behauptet, ein Kinderwunsch entstanden und gewachsen, den er zuvor nicht gehabt hätte und dem seine schweizerische Ehefrau altersbedingt nicht habe entsprechen können, sodass die zum Zeitpunkt der erleichterten Einbürgerung noch intakte Ehe schliesslich an der Änderung der Lebensprioritäten gescheitert sei.</w:t>
      </w:r>
    </w:p>
    <w:p>
      <w:r>
        <w:rPr>
          <w:b/>
        </w:rPr>
        <w:t>E. 6.2</w:t>
      </w:r>
    </w:p>
    <w:p>
      <w:r>
        <w:t>Allerdings ist den Akten zu entnehmen, dass der Beschwerdeführer in seinem Heimatland an 2. August 2005 die Ehe mit einer Landsfrau einging und mit ihr bis zur Scheidung am 4. Februar 2009 verheiratet war. Diese parallel zu seiner schweizerischen Ehe bestehende Beziehung legte er im Verfahren auf erleichterte Einbürgerung nicht offen. Zu seiner Verteidigung macht der Beschwerdeführer geltend, in Pakistan sei kein rechtswirksamer Eheschluss zustande gekommen, weshalb er auch keinen Anlass gehabt habe, dazu irgendwelche Aussagen zu machen. Tatsächlich sei die Ehe von seinen Eltern und den Eltern der Braut arrangiert worden, ohne dass er dazu jemals seine Zustimmung erteilt hätte. Weder er noch seine Braut seien an der Heiratszeremonie persönlich anwesend gewesen, und schriftliche Dokumente zum Heiratsakt bestünden nicht. In der Folge habe er nie mit seiner pakistanischen Ehefrau zusammengelebt und seine Beziehung zur schweizerischen Ehefrau sei von der pakistanischen Ehe nicht beeinträchtigt gewesen. Er beruft sich auf die Aussagen seiner geschiedenen Ehefrau anlässlich ihrer Einvernahme, wonach die Ehe erzwungen gewesen sei, da die Eltern die Kinder einander versprochen hätten und er davon überrascht worden sei.</w:t>
      </w:r>
    </w:p>
    <w:p>
      <w:r>
        <w:rPr>
          <w:b/>
        </w:rPr>
        <w:t>E. 6.3</w:t>
      </w:r>
    </w:p>
    <w:p>
      <w:r>
        <w:t>Dem Beschwerdeführer ist entgegenzuhalten, dass er das Urteil darüber, ob die pakistanische Zweitehe seiner Einbürgerung entgegensteht, den schweizerischen Behörden hätte überlassen müssen. Er hätte es nicht bei einer eigenen Bewertung der rechtlichen Wirksamkeit dieser Ehe bewenden lassen dürfen. Dass er spezifische rechtliche Überlegungen angestellt hätte, ist ohnehin unglaubwürdig. Nicht nur ist er juristischer Laie und waren die Vorgänge in Pakistan für ihn von grosser praktischer Tragweite, wie seinen eigenen Angaben in der persönlich verfassten Stellungnahme vom 16. Dezember 2011 und vor allem auch denen seiner schweizerischen Ehefrau anlässlich ihrer Einvernahme vom 8. November 2011 entnommen werden kann. Die Ausführungen des Beschwerdeführers stehen darüber hinaus im Widerspruch zur Tatsache, dass er die angeblich von Anfang an unwirksame Ehe erst dreieinhalb Jahre später durch Scheidung auflöste und dass er dabei offensichtlich keine Widerstände seiner Verwandtschaft oder der Verwandtschaft seiner pakistanischen Ehefrau überwinden musste. Sie stehen auch im Widerspruch zu einem pakistanischen Dokument, das er persönlich zuhan­den des kantonalen Familiennachzugsverfahrens produzierte und zu dem er wohlweislich jede Stellungnahme vermeidet. In diesem Dokument, einem "Divorce Deed", datiert vom 29. März 2011, bestätigt der Beschwer­deführer den aus seiner Sicht angeblich rechtlich nicht existenten Eheschluss, stellt fest, dass aus der Ehe keine Kinder hervorgegangen seien, und erläutert, dass aufgrund fehlenden Verständnisses nach einiger Zeit Probleme zwischen den Eheleuten entstanden seien, die ein weiteres Zusammenleben verunmöglich hätten. In der Folge habe er, der Be­schwerdeführer, die dreifache Scheidungsformel ausgesprochen, womit die Ehe aufgelöst worden sei. Dazu passt, dass gemäss den in Pakistan getätigten Abklärungen dieser Eheschluss des Beschwerdeführers von seiner heimatlichen Dorfgemeinschaft ohne weiteres als gültig anerkannt wurde.</w:t>
      </w:r>
    </w:p>
    <w:p>
      <w:r>
        <w:rPr>
          <w:b/>
        </w:rPr>
        <w:t>E. 6.4</w:t>
      </w:r>
    </w:p>
    <w:p>
      <w:r>
        <w:t>Bei dieser Sachlage müssen die Vorbringen des Beschwerdeführers zu den Gründen, die ihn bewogen haben, die pakistanische Ehe im Einbürgerungsverfahren nicht zu erwähnen, als klare Schutzbehauptungen bewertet werden. Es ist entgegen seinen Beteuerungen davon auszugehen, dass er den schweizerischen Behörden die in Pakistan geschlossene Ehe bewusst verheimlichte, um seine anstehende erleichterte Einbürgerung nicht zu gefährden. Der Beschwerdeführer beantragt zu diesem Thema zwar eine persönliche Befragung. Dazu besteht jedoch kein hinreichender Anlass. Zum einen besteht kein Anspruch auf mündliche Anhörung (vgl. BGE 134 I 140 E. 5.3 S. 148). Parteivorbringen sind grundsätzlich in Schriftform in das Rechtsmittelverfahren einzubringen (vgl. Fritz Gygi, Bundesverwaltungsrechtspflege, Bern 1983, S. 65 und 201). Dazu hatte der Beschwerdeführer durch seinen Rechtsvertreter hinreichend Gelegenheit. Zum anderen ist die Beweislage klar, sodass in antizipierter Beweiswürdigung von weiteren Beweiserhebungen ohne Verletzung des rechtlichen Gehörs abgesehen werden kann (BGE 136 I 229 E. 5.3 S. 236 f. mit Hinweisen). Da es sich bei der Zweitehe um einen Sachverhalt handelt, die eine erleichterten Einbürgerung verhindert oder zumindest bis zum Abschluss weiterer Beweiserhebungen hinausgezögert hätte, er daher erheblich war (vgl. oben Ziff. 3.2 und 4.3), setzte der Beschwerdeführer durch die unterlassene Aufklärung der schweizerischen Behörden den Nichtigkeitsgrund des Erschleichens im Sinne von Art. 41 Abs. 1 BüG. Gründe, die es ermessensweise rechtfertigen würden, auf die Rechtsfolge der Nichtigerklärung trotz Erfüllung der entsprechenden Voraussetzungen zu verzichten, sind nach dem definitiven Scheitern der Ehe des Beschwerdeführers mit der Schweizer Bürgerin keine ersichtlich.</w:t>
      </w:r>
    </w:p>
    <w:p>
      <w:r>
        <w:rPr>
          <w:b/>
        </w:rPr>
        <w:t>E. 7</w:t>
      </w:r>
    </w:p>
    <w:p>
      <w:r>
        <w:t>Abschliessend ergibt sich, dass die angefochtene Verfügung ist im Lichte von Art. 49 VwVG nicht zu beanstanden ist. Die Beschwerde ist daher abzuweisen.</w:t>
      </w:r>
    </w:p>
    <w:p>
      <w:r>
        <w:rPr>
          <w:b/>
        </w:rPr>
        <w:t>E. 8</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