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C-4763/2011 vom 14. Mai 2012</w:t>
      </w:r>
    </w:p>
    <w:p>
      <w:r>
        <w:t>Bundesverwaltungsgericht, 2012-05-14, FR</w:t>
      </w:r>
    </w:p>
    <w:p>
      <w:r>
        <w:rPr>
          <w:b/>
        </w:rPr>
        <w:t xml:space="preserve">Quelle: </w:t>
      </w:r>
      <w:r>
        <w:t>https://mcp.opencaselaw.ch/entscheid/bvger_C-4763_2011</w:t>
      </w:r>
    </w:p>
    <w:p>
      <w:r>
        <w:t>FR: TAF C-4763/2011 du 14 mai 2012</w:t>
      </w:r>
    </w:p>
    <w:p>
      <w:r>
        <w:t>IT: TAF C-4763/2011 del 14 maggio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2011/1 consid. 2 p. 4 et jurisprudence citée).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p. 3531; voir également ATF 135 II 1 consid. 1.1).</w:t>
      </w:r>
    </w:p>
    <w:p>
      <w:r>
        <w:rPr>
          <w:b/>
        </w:rPr>
        <w:t>E. 4</w:t>
      </w:r>
    </w:p>
    <w:p>
      <w:r>
        <w:t>Les dispositions sur la procédure en matière de visa ainsi que sur l'entrée en Suisse et la sortie de Suisse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Schengen et le Règlement (CE) no 562/2006 en ce qui concerne la circulation des personnes titulaires d'un visa de long séjour (JO L 85 du 31 mars 2010). Les conditions d'entrée ainsi prévues correspondent, pour l'essentiel, à celles posées à l'art. 5 LEtr.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w:t>
      </w:r>
    </w:p>
    <w:p>
      <w:r>
        <w:t>Le Règlement (CE) no 539/2001 du Conseil du 15 mars 2001 (JO L 81 du 21 mars 2001, p. 1-7) différencie, en son art. 1 par. 1 et 2, les ressortissants des Etats tiers selon qu'ils sont soumis ou non à l'obligation du visa. Du fait de sa nationalité, C._______ est soumis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6.4</w:t>
      </w:r>
    </w:p>
    <w:p>
      <w:r>
        <w:t>A ce sujet, il faut tenir compte de la qualité de vie et des conditions économiques et sociales difficiles que connaît l'ensemble de la population de Cuba, pays dont le produit intérieur brut (PIB) par habitant était de 5'854 USD en 2009. L'économie cubaine, très dépendante du secteur des services, a connu des taux de croissance de 1,4 % en 2009 et 2% en 2010, en net recul par rapport aux années 2005, 2006, 2007 et 2008, où des taux de croissance de respectivement 12 %, 12 %, 7.5 % et 4.1 % avaient été enregistrés. Malgré ces données économiques globalement positives, auxquelles vient s'ajouter un taux de chômage exceptionnellement faible - 1,7 % en 2009 -, Cuba a fait face, en 2008, à une grave crise des liquidités qui s'est transformée en une crise de solvabilité. Avec le taux de croissance de l'économie cubaine en 2009, les perspectives s'assombrissent (source: site internet du Ministère français des affaires étrangères : www.diplomatie.gouv.fr France-Diplomatie Pays - zones géo Cuba Présentation Données économiques et situation économique, mis à jour le 25 mai 2011; consulté en avril 2012; voir également les arrêts du TAF C-11/2011 du 27 mai 2011 consid. 7.2, C-7332/2010 du 7 mars 2011 consid. 6.4, C-800/2010 du 29 novembre 2010 consid. 6.4, C- 4553/2010 du 24 septembre 2010 consid. 6.1 et C-302/2010 du 28 juin 2010 consid. 4.3, ainsi que les réf. citées). S'agissant de la situation politique, la population demeure soumise, dans les faits, à un contrôle étroit, les libertés d'opinion, d'expression, de réunion, d'association et de déplacement continuant d'être sévèrement restreintes (source: site internet du Ministère français des affaires étrangères précité, Présentation &gt; Politique intérieure; consulté en avril 2012). Cet état de fait est susceptible d'entraîner une forte pression migratoire, pression encore renforcée, comme l'expérience l'a démontré, lorsque la personne concernée peut s'appuyer à l'étranger sur un réseau social préexistant, ce qui est le cas en l'espèce. Toutefois, cette situation dans le pays d'origine ne suffit pas à conclure à l'absence de garantie quant à la sortie de l'intéressé de Suisse et de l'Espace Schengen à l'issue de son séjour, toutes les particularités du cas d'espèce devant être prises en considération (cf. ATAF 2009/27 consid. 7 et 8).</w:t>
      </w:r>
    </w:p>
    <w:p>
      <w:r>
        <w:rPr>
          <w:b/>
        </w:rPr>
        <w:t>E. 7.1</w:t>
      </w:r>
    </w:p>
    <w:p>
      <w:r>
        <w:t>Sans nécessairement mettre en doute les motifs d'ordre familial qui fondent la demande d'autorisation d'entrée en Suisse de C._______ (séjour de visite auprès de sa soeur et de son beau-frère), le TAF ne saurait admettre, au vu de la situation prévalant à Cuba sur les plans socio-économique et politique et au regard de l'ensemble des éléments du dossier, que la sortie de Suisse de l'intéressé à l'issue du séjour projeté soit suffisamment garantie.</w:t>
      </w:r>
    </w:p>
    <w:p>
      <w:r>
        <w:rPr>
          <w:b/>
        </w:rPr>
        <w:t>E. 7.2</w:t>
      </w:r>
    </w:p>
    <w:p>
      <w:r>
        <w:t>Il résulte du dossier que si C._______ possède bien le centre de ses relations familiales et sociales à Cuba (notamment du fait de la présence de sa famille dans ce pays [cf. recours du 28 août 2011]) et si les liens qui le rattachent ainsi à son pays sont un élément qui, a priori, parle en faveur de sa sortie de Suisse à l'issue du séjour projeté, il n'en demeure pas moins, au vu de l'expérience générale, que de tels liens sont parfois insuffisants pour inciter une personne à retourner dans son pays de résidence et, souvent, ne l'emportent pas, compte tenu, dans le cas particulier, du contexte politico-économique dans lequel se trouve Cuba, sur la perspective d'un meilleur avenir en Suisse. D'autre part, l'activité professionnelle exercée par C._______ dans son pays (employé de l'Etat cubain) n'est pas davantage susceptible de représenter un facteur déterminant dans l'appréciation du cas et de nature à assurer que le départ de l'intéressé de Suisse interviendra dans les délais prévus. Il ne faut pas en effet perdre de vue que la Suisse connaît un niveau de vie sensiblement supérieur et que cette circonstance peut s'avérer décisive lorsqu'une personne prend la décision de quitter définitivement sa patrie. C._______ pourrait en effet être tenté, une fois entré en Suisse, de prolonger son séjour dans ce pays, ne serait-ce que temporairement, dans le but d'y exercer une activité lucrative lui assurant de meilleurs revenus que ceux réalisés dans son pays et lui permettant d'en faire bénéficier les membres de sa famille proche restée à Cuba, malgré les assurances contraires données dans le cadre de la procédure de recours. Dans ce contexte, les arguments avancés par les recourants, selon lesquelles la prolongation du séjour en Suisse de C._______ pourrait avoir des conséquences négatives sur les membres de sa famille restés à Cuba, ne sauraient modifier l'appréciation du cas d'espèce. Le Tribunal relève enfin que le fait que les recourants seraient prêts à réduire à trois semaines la durée du visa sollicité en faveur de leur invité n'a guère d'incidence sur l'appréciation du risque de voir celui-ci prolonger son séjour en Suisse.</w:t>
      </w:r>
    </w:p>
    <w:p>
      <w:r>
        <w:rPr>
          <w:b/>
        </w:rPr>
        <w:t>E. 7.3</w:t>
      </w:r>
    </w:p>
    <w:p>
      <w:r>
        <w:t>Il s'impose de souligner enfin que les ressortissants cubains qui ont effectué un séjour à l'étranger de plus de onze mois, ne sont plus autorisés, selon les dispositions en vigueur dans leur pays et en l'état actuel des connaissances du TAF, à y retourner (cf. à ce sujet Michael Kirschner, Kuba, Legale und illegale Aus- und Einreise, Schweizerische Flüchtlingshilfe, Berne 2006; voir aussi les arrêts du TAF C-11/2011 précité consid. 7.2.3; C-8123/2010 du 11 juillet 2011 consid. 6.2.3; C-7332/2010 précité consid. 7.3; C-4553/2010 précité consid. 7.3, C-6160/2009 du 15 avril 2010 consid. 13 et C-6528/2007 du 3 février 2010 consid. 6.3, ainsi que les réf. mentionnées). Cela signifie que, si C._______ choisissait de prolonger illégalement son séjour en Suisse, l'organisation de son éventuel rapatriement à Cuba s'en trouverait singulièrement compromise.</w:t>
      </w:r>
    </w:p>
    <w:p>
      <w:r>
        <w:rPr>
          <w:b/>
        </w:rPr>
        <w:t>E. 8</w:t>
      </w:r>
    </w:p>
    <w:p>
      <w:r>
        <w:t>Le refus d'une autorisation d'entrée ne remet nullement en cause la bonne foi ou l'honnêteté des personnes qui ont invité des tiers domiciliés à l'étranger pour un séjour touristique en Suisse et se sont engagées à garantir les frais y relatifs et le départ de leurs invités. Si ces assurances sont dans une certaine mesure prises en compte pour se prononcer sur la question de savoir si un visa peut être accordé en l'espèce, elles ne sont cependant pas décisives dans la mesure où elles ne permettent pas d'exclure que l'intéressé, une fois en Suisse, tente d'y demeurer, le requérant conservant seul la maîtrise de son comportement. De même, l'intention que peut manifester une personne de retourner dans son pays à l'issue de son séjour, voire son engagement formel à le faire, n'ont aucune force obligatoire sur le plan juridique (cf. ATAF 2009/27 consid. 9) et ne suffisent pas non plus à garantir que son départ interviendra dans les délais prévus. Cela étant, le présent refus n'a en définitive pas pour conséquence d'empêcher C._______ de maintenir des contacts avec sa soeur et son beau-frère vivant en Suisse, ces derniers pouvant tout aussi bien le rencontrer hors de Suisse, notamment à Cuba, nonobstant les inconvénients d'ordre pratique ou de convenance personnelle que cela pourrait engendrer.</w:t>
      </w:r>
    </w:p>
    <w:p>
      <w:r>
        <w:rPr>
          <w:b/>
        </w:rPr>
        <w:t>E. 9</w:t>
      </w:r>
    </w:p>
    <w:p>
      <w:r>
        <w:t>Les conditions d'entrée prévues par le code frontières Schengen concernant la garantie que C._______ quitterait la Suisse dans le délai fixé n'étant pas remplies in casu, c'est donc de manière fondée que l'ODM a refusé la délivrance d'une autorisation d'entrée dans l'Espace Schengen en sa faveur.</w:t>
      </w:r>
    </w:p>
    <w:p>
      <w:r>
        <w:rPr>
          <w:b/>
        </w:rPr>
        <w:t>E. 10</w:t>
      </w:r>
    </w:p>
    <w:p>
      <w:r>
        <w:t>Il s'ensuit que, par sa décision du 29 juillet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