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C-4761/2013 vom 11. Dezember 2013</w:t>
      </w:r>
    </w:p>
    <w:p>
      <w:r>
        <w:t>Bundesverwaltungsgericht, 2013-12-11, DE</w:t>
      </w:r>
    </w:p>
    <w:p>
      <w:r>
        <w:rPr>
          <w:b/>
        </w:rPr>
        <w:t xml:space="preserve">Quelle: </w:t>
      </w:r>
      <w:r>
        <w:t>https://mcp.opencaselaw.ch/entscheid/bvger_C-4761_2013</w:t>
      </w:r>
    </w:p>
    <w:p>
      <w:r>
        <w:t>FR: TAF C-4761/2013 du 11 décembre 2013</w:t>
      </w:r>
    </w:p>
    <w:p>
      <w:r>
        <w:t>IT: TAF C-4761/2013 del 11 dicembre 2013</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3.1</w:t>
      </w:r>
    </w:p>
    <w:p>
      <w:r>
        <w:t>Der Beschwerdeführer rügt in formeller Hinsicht eine Verletzung des Anspruchs auf rechtliches Gehör (vgl. Art. 29 Abs. 2 der Bundesverfassung der Schweizerischen Eidgenossenschaft vom 18. April 1999 [BV, SR 101] sowie Art. 29 ff. VwVG). Nach Einreichen seiner Einsprache vom 18. Juni 2013 habe ihn das BFM vor Erlass der Verfügung vom 25. Juli 2013 - entgegen anderslautender Informationen - nicht mehr kontaktiert. Er habe sich damit nicht mehr äussern oder weitere Unterlagen einbringen können.</w:t>
      </w:r>
    </w:p>
    <w:p>
      <w:r>
        <w:rPr>
          <w:b/>
        </w:rPr>
        <w:t>E. 3.2</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BENOIT BOVAY, Procédure administrative, Bern 2000, S. 207 ff.; Häfelin/Müller/Uhlmann, Allgemeines Verwaltungsrecht, 6. vollständig überarbeitete Aufl., Zürich/St. Gallen 2010, Rz. 1672 ff.; Alfred Kölz/Isabelle Häner/Martin Bertschi, Verwaltungsverfahren und Verwaltungsrechtspflege des Bundes, 3. Aufl., Zürich 2013, Rz. 214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Wird das Verfahren auf Antrag der Partei eingeleitet, so muss das Äusserungsrecht durch diese Partei grundsätzlich gleichzeitig mit der Verfahrenseinleitung ausgeübt werden. Sie hat die Beweise, mit denen sie ihre Vorbringen zu untermauern gedenkt, gleichzeitig mit der Antragsstellung anzubieten und darf nicht erwarten, dass ihr die Behörde später noch ausdrücklich die Gelegenheit zur Bezeichnung von Beweismitteln gewährt (vgl. Patrick Sutter, in: Auer/Müller/Schindler [Hrsg.], VwVG, Kommentar zum Bundesgesetz über das Verwaltungsverfahren, Zürich/St. Gallen 2008, N. 7 zu Art. 30 VwVG).</w:t>
      </w:r>
    </w:p>
    <w:p>
      <w:r>
        <w:rPr>
          <w:b/>
        </w:rPr>
        <w:t>E. 3.4</w:t>
      </w:r>
    </w:p>
    <w:p>
      <w:r>
        <w:t>Das BFM kündigte dem Beschwerdeführer nach Einreichen seiner Einsprache vom 18. Juni 2013 an, dass es bei der Auslandvertretung die Gesuchsakten einfordern sowie eine Inlandabklärung durch die kantonale Migrationsbehörde veranlassen werde. In der Folge wurden die Akten der Auslandvertretung angefordert und diese wurde um eine allfällige ergänzende Stellungnahme gebeten. Ungünstig gestaltet sich hingegen der Umstand, dass eine Abklärung durch die zuständigen kantonalen Behörden, entgegen anderslautender Ankündigung, nicht veranlasst wurde. Nichtsdestotrotz kann aus diesem Versäumnis keine Verletzung des Anspruchs auf rechtliches Gehör abgeleitet werden. Dem Beschwerdeführer war es durchaus möglich, sich in seiner Einsprache vom 18. Juni 2013 zur Angelegenheit zu äussern. Die Vorinstanz durfte denn auch aufgrund der vorliegenden Unterlagen - den Akten der Auslandvertretung sowie der Einsprache - die Visumsvoraussetzung der "gesicherten Wiederausreise" als nicht erfüllt erachten. Nicht verpflichtet war sie hingegen, dem Beschwerdeführer das Ergebnis ihrer Beweiswürdigung und rechtlichen Beurteilung vorgängig mitzuteilen, damit sich dieser dazu äussern und ergänzende Belege einreichen konnte. Von einer Verletzung des Anhörungsrechts des Beschwerdeführers ist somit in casu nicht auszugehen (vgl. dazu auch Urteil des Bundesverwaltungsgerichts C-711/2007 vom 3. Juli 2007, E. 1.4.3 und 1.4.4).</w:t>
      </w:r>
    </w:p>
    <w:p>
      <w:r>
        <w:rPr>
          <w:b/>
        </w:rPr>
        <w:t>E. 4</w:t>
      </w:r>
    </w:p>
    <w:p>
      <w:r>
        <w:t>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5.2</w:t>
      </w:r>
    </w:p>
    <w:p>
      <w:r>
        <w:t>Bürger von Drittstaaten dürfen über die Aussengrenzen des Schen­gen-Raums für einen Aufenthalt von höchstens 90 Tagen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5.3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6.1 Aufgrund ihrer thailändischen Staatsangehörigkeit unterliegt die Gesuchstellerin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 6.2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7.1 Trotz der grundsätzlich positiven wirtschaftlichen Entwicklung in Thailand sind dort nach wie vor breite Bevölkerungsschichten von kargen ökonomischen und sozialen Lebensbedingungen betroffen. Die Gesuchstellerin stammt aus der Provinz Chaiyaphum im Nordosten Thailands und damit aus einem Gebiet, das im landesweiten Vergleich als ärmstes von insgesamt sechs Regionen gilt (vgl. http://www.thaiwebsites.com/thailand-GDP.asp, besucht im November 2013). 7.2 Vom Druck zur wirtschaftlichen Existenzsicherung sind in Thailand Frauen ganz besonders betroffen, die mit ihrem Einkommen oft für die Überlebenschancen ihrer eigenen Haushalte oder gar grösserer sozialer Einheiten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 zu den wirtschaftlichen Eckdaten allgemein vgl. Staatssekretariat für Wirtschaft &gt; Themen &gt; Aus­senwirtschaft &gt; Länderinformationen &gt; Asien/Ozeanien &gt; Thailand, http://www.seco.admin.ch&gt;, Stand: November 2013, besucht im November 2013). 7.3 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 7.4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8.1 Bei der Gesuchstellerin handelt es sich um eine 23-jährige Frau und Mutter einer 7-jährigen Tochter. Sie lebe überdies zusammen mit ihren Eltern, zwei älteren Brüdern, zwei Nichten und ihrer Grossmutter (vgl. Replik vom 24. Oktober 2013). Auf den ersten Blick könnte der Umstand, dass die Gesuchstellerin Mutter ist, für eine gewisse Verwurzelung sprechen. Andererseits ist die Betreuung der Tochter auch während des geplanten dreimonatigen Auslandaufenthalts der Gesuchstellerin in der Schweiz ohne Weiteres gewährleistet. Replikweise geht denn auch hervor, dass die Eltern der Gesuchstellerin durch den Tag auch die beiden im gleichen Haushalt lebenden Nichten betreuen würden. Während der Abwesenheit der Gesuchstellerin würden die Eltern auch auf deren Tochter schauen (vgl. Beschwerde vom 22. August 2013). Die Erfahrung zeigt zudem,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Es sind somit in casu keine familiären und gesellschaftlichen Verpflichtungen ersichtlich, welche die Gesuchstellerin von einer Emigration abzuhalten vermögen. 8.2 Der Beschwerdeführer macht in wirtschaftlicher Hinsicht geltend, die Gesuchstellerin sei selbständig erwerbend und führe einen kleinen Laden, wo sie Essen und Getränke verkaufe. Durchschnittlich verdiene sie im Monat 10'000 Baht. Damit finanziere sie ihr Kind und ihre Eltern. Ein Kontoauszug könne hingegen nicht eingereicht werden, da sie ihre Einnahmen sogleich wieder ausgebe (vgl. Beschwerde vom 22. August 2013). Aufgrund dieser Angaben können jedoch keine zuverlässigen Rückschlüsse auf die wirtschaftlichen Verhältnisse der Gesuchstellerin gezogen werden. Dazu reicht auch die Fotodokumentation des Ladens der Gesuchstellerin nicht aus. Hinzuweisen ist auch auf den Umstand, dass die Gesuchstellerin noch in ihrem Visumantrag vom 28. Mai 2013 angab, sie sei Verkäuferin (vgl. Visumantrag vom 28. Mai 2013, Frage 19 "derzeitige berufliche Tätigkeit"), also noch nicht die Rede von einer selbständigen Tätigkeit als Inhaberin eines Ladens war. Es gilt somit festzuhalten, dass auf dieser Grundlage die Wiederausreise der Gesuchstellerin noch nicht als gesichert eingestuft werden kann, da nicht von einer zwingenden beruflichen Verpflichtung ausgegangen werden kann. 8.3 Nicht ausschlaggebend bleibt damit, ob es sich, wie die Vorinstanz in ihrer Verfügung vom 25. Juli 2013 geltend macht, um eine lose Ferienbekanntschaft des Beschwerdeführers handelt. Es sei jedoch an dieser Stelle darauf hingewiesen, dass gewisse Ungereimtheiten bestehen, die den Schluss des BFM nicht ganz abwegig erscheinen lassen. So macht der Beschwerdeführer in seiner Rechtsmitteleingabe vom 22. August 2013 geltend, er kenne die Gesuchstellerin seit 4 Jahren, sie sei seine Freundin. Im Einladungsschreiben vom 26. April 2013 führt er hingegen aus, er habe seinen Gast im Januar 2013 anlässlich einer Rundreise kennengelernt. Auch habe sich die Gesuchstellerin erst noch letztes Jahr entschieden, ihren englischen Freund nicht zu heiraten (vgl. Beschwerde vom 22. August 2013). 8.4 Vor dem allgemeinen und persönlichen Hintergrund durfte die Vorinstanz demnach davon ausgehen, dass keine hinreichende Gewähr für eine fristgerechte und anstandslose Wiederausreise der Gesuchstellerin nach ihrem Besuchsaufenthalt besteht. Zwar lässt sich diese Prognose nicht zu einer gesicherten Feststellung verdichten; sie genügt jedoch, um die Erteilung einer Einreisebewilligung, auf welche ohnehin kein Rechtsanspruch besteht, abzulehnen.</w:t>
      </w:r>
    </w:p>
    <w:p>
      <w:r>
        <w:rPr>
          <w:b/>
        </w:rPr>
        <w:t>E. 9</w:t>
      </w:r>
    </w:p>
    <w:p>
      <w:r>
        <w:t>An der Richtigkeit dieser Einschätzung ändert auch die Tatsache nichts, dass der Beschwerdeführer über einen ausgezeichneten Leumund verfügt. Wie bereits die Vorinstanz in ihrer Vernehmlassung vom 20. September 2013 ausführt, wird denn auch nicht die Integrität des Beschwerdeführers in seiner Eigenschaft als Gastgeber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denn auch nicht - mangels rechtlicher und fak­tischer Durchsetzbar­keit - für ein be­stimmtes Verhalten des Gastes Garantie leisten (vgl. BVGE 2009/27 E. 9).</w:t>
      </w:r>
    </w:p>
    <w:p>
      <w:r>
        <w:rPr>
          <w:b/>
        </w:rPr>
        <w:t>E. 10</w:t>
      </w:r>
    </w:p>
    <w:p>
      <w:r>
        <w:t>Vor dem aufgezeigten Hintergrund durfte die Vorinstanz demnach davon ausgehen, dass keine hinreichende Gewähr für eine fristgerechte und anstandslose Wiederausreise der Gesuchstellerin nach einem Besuchsaufenthalt besteht. Mit der fehlenden Gewähr für eine anstandslose Wiederausreise ist eine zwingende Voraussetzung zur Erteilung eines Schengen-Visums nicht erfüllt. Gründe für die Ausstellung eines Visums mit räumlich beschränkter Gültigkeit (vgl. dazu Ziffer 5.5 hiervor) werden nicht vorgebracht und liegen auch nicht vor.</w:t>
      </w:r>
    </w:p>
    <w:p>
      <w:r>
        <w:rPr>
          <w:b/>
        </w:rPr>
        <w:t>E. 11</w:t>
      </w:r>
    </w:p>
    <w:p>
      <w:r>
        <w:t>Aus vorstehenden Erwägungen folgt, dass die angefochtene Verfügung im Lichte von Art. 49 VwVG nicht zu beanstanden ist. Die Beschwerde ist daher abzuweisen.</w:t>
      </w:r>
    </w:p>
    <w:p>
      <w:r>
        <w:rPr>
          <w:b/>
        </w:rPr>
        <w:t>E. 12</w:t>
      </w:r>
    </w:p>
    <w:p>
      <w:r>
        <w:t>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