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C-475/2012 vom 27. August 2012</w:t>
      </w:r>
    </w:p>
    <w:p>
      <w:r>
        <w:t>Bundesverwaltungsgericht, 2012-08-27, DE</w:t>
      </w:r>
    </w:p>
    <w:p>
      <w:r>
        <w:rPr>
          <w:b/>
        </w:rPr>
        <w:t xml:space="preserve">Quelle: </w:t>
      </w:r>
      <w:r>
        <w:t>https://mcp.opencaselaw.ch/entscheid/bvger_C-475_2012</w:t>
      </w:r>
    </w:p>
    <w:p>
      <w:r>
        <w:t>FR: TAF C-475/2012 du 27 août 2012</w:t>
      </w:r>
    </w:p>
    <w:p>
      <w:r>
        <w:t>IT: TAF C-475/2012 del 27 agosto 2012</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in Art. 33 VGG aufgeführten Behörde erlassen wurden. Darunter fallen u.a. Verfü­gun­gen des BFM, mit denen die Erteilung eines Schengenvisums zu Be­suchszwecken verweigert wird. In dieser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Die Beschwerdeführer sind gemäss Art. 48 Abs. 1 VwVG zur Be­schwerde berechtigt.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mit Hinweisen).</w:t>
      </w:r>
    </w:p>
    <w:p>
      <w:r>
        <w:rPr>
          <w:b/>
        </w:rPr>
        <w:t>E. 3</w:t>
      </w:r>
    </w:p>
    <w:p>
      <w:r>
        <w:t>Der angefochtenen Verfügung liegt das Gesuch einer thailändischen Staats­angehörigen um Erteilung eines Visums für einen dreimonatigen Aufenthalt in der Schweiz zugrunde. Da sich die Gesuchstellerin nicht auf die EU/EFTA-Personenfreizügigkeitsabkommen berufen kann und die beab­sichtigte Aufenthaltsdauer drei Monate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vom 16. Dezember 2005 (AuG, SR 142.20) und seine Ausführungsverordnung gelangen nur soweit zur Anwendung, als die Schengen-Assoziierungsabkommen keine abweichenden Bestimmungen enthalten (Art. 2 Abs. 2 bis Abs. 5 AuG).</w:t>
      </w:r>
    </w:p>
    <w:p>
      <w:r>
        <w:rPr>
          <w:b/>
        </w:rPr>
        <w:t>E. 4</w:t>
      </w:r>
    </w:p>
    <w:p>
      <w:r>
        <w:t>Die Voraussetzungen für die Erteilung eines Visums präsentieren sich im Anwendungsbereich der genannten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die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(a.M. Philipp Egli / Tobias D. Meyer, in: Martina Caroni / Thomas Gächter / Daniela Thurn­herr [Hrsg.], Stämpflis Handkommentar zum Bundesgesetz über die Auslän­derinnen und Ausländer, Bern 2010, Art. 5 N. 3 f.).</w:t>
      </w:r>
    </w:p>
    <w:p>
      <w:r>
        <w:rPr>
          <w:b/>
        </w:rPr>
        <w:t>E. 4.2</w:t>
      </w:r>
    </w:p>
    <w:p>
      <w:r>
        <w:t>Angehörige von Drittstaaten dürfen über die Aussengrenzen des Schengen-Raums für einen Aufenthalt von höchstens drei Monaten je Sechsmonatszeitraum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Art. 4 VEV).</w:t>
      </w:r>
    </w:p>
    <w:p>
      <w:r>
        <w:rPr>
          <w:b/>
        </w:rPr>
        <w:t>E. 4.3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Philipp Egli / Tobias D. Meyer, a.a.O., Art. 5 N. 33). Weiterhin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4.4</w:t>
      </w:r>
    </w:p>
    <w:p>
      <w:r>
        <w:t>Eine Gefahr für die öffentliche Ordnung im Sinne von Art. 5 Abs. 1 Bst. e SGK ist auch dann anzunehmen, wenn die drittstaatsangehörige Per­son nicht bereit ist, das Hoheitsgebiet des Schengen-Raums fristge­recht wie­der zu verlassen (vgl. dazu Philipp Egli / Tobias D. 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w:t>
      </w:r>
    </w:p>
    <w:p>
      <w:r>
        <w:rPr>
          <w:b/>
        </w:rPr>
        <w:t>E. 4.5</w:t>
      </w:r>
    </w:p>
    <w:p>
      <w:r>
        <w:t>Sind die vorerwähnten Einreisevoraussetzungen (Visum ausgenom­men)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5.1</w:t>
      </w:r>
    </w:p>
    <w:p>
      <w:r>
        <w:t>Die Vorinstanz verweigerte die Erteilung des beantragten Schengenvisums mit der Begründung, die anstandslose und fristgerechte Wiederausreise erscheine nicht als hinreichend gesichert. Zudem seien die finanziellen Garantien im vorliegenden Fall ungenügend.</w:t>
      </w:r>
    </w:p>
    <w:p>
      <w:r>
        <w:rPr>
          <w:b/>
        </w:rPr>
        <w:t>E. 5.2</w:t>
      </w:r>
    </w:p>
    <w:p>
      <w:r>
        <w:t>Wie oben erwähnt, unterliegt die Gesuchstellerin als thailändische Staatsangehörige der Vi­sumspflicht (Anhang I zur Verordnung (EG) Nr. 539/2001 des Rates vom 15. März 2001). Bei der Prüfung der Einreisevoraussetzungen nach Art. 5 Abs. 1 SGK steht die Frage der gesicherten Wiederausreise im Vor­dergrund, welche die Vorinstanz aufgrund der allgemeinen Lage im Heimat­land sowie der persönlichen Verhältnisse der Gesuchstellerin an­zweifelt. Dazu lassen sich in der Regel keine gesicherten Feststellungen, sondern lediglich Prognosen treffen. Dabei sind sämtliche Umstände des konkreten Einzelfalles zu würdigen.</w:t>
      </w:r>
    </w:p>
    <w:p>
      <w:r>
        <w:rPr>
          <w:b/>
        </w:rPr>
        <w:t>E. 5.3</w:t>
      </w:r>
    </w:p>
    <w:p>
      <w:r>
        <w:t>Anhaltspunkte zur Beurteilung der Gewähr für eine fristgerechte Wie­derausreise können sich aus der allgemeinen Situation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5.4.1</w:t>
      </w:r>
    </w:p>
    <w:p>
      <w:r>
        <w:t>In Thailand sind - vorab in den ländlichen Gebieten des Nordostens, aus denen die Gesuchstellerin stammt - breite Bevölkerungsschichten von kargen ökonomischen und sozialen Lebensbedingungen betroffen. Die Region der Nordostprovinzen gilt im landesweiten Vergleich als ärmste der insgesamt sechs Regionen (vgl. Thailand National Human Development Report 2009 auf der Website des United Nations Development Programme (UNDP), UNDP around the world Thailand 2009 Thailand National Human Development Report, http://www.undp.org , besucht im August 2012).</w:t>
      </w:r>
    </w:p>
    <w:p>
      <w:r>
        <w:rPr>
          <w:b/>
        </w:rPr>
        <w:t>E. 5.4.2</w:t>
      </w:r>
    </w:p>
    <w:p>
      <w:r>
        <w:t>Vom Druck zur wirtschaftlichen Existenzsicherung sind häufig Frauen besonders betroffen, die mit ihrem Einkommen oft für die Überle­benschancen ihrer eigenen Haushalte und ganzer Gemeinden sorgen müssen und deren Arbeitsplätze in Zeiten angespannter wirtschaftlicher Verhältnisse - je nach Sektor - besonders gefährdet sind. Entsprechend hat die wirtschaftlich motivierte Emigration von Thailänderinnen nach 1997 zugenommen (Quelle: Schlussbericht vom 13. Mai 2002 der Kommis­sion des Deutschen Bundestags zum Thema Globalisierung der Weltwirtschaft - Herausforderungen und Antworten, Ziff. 6.2.2.2 S. 317 f., online abrufbar als Bundesdrucksache 14/9200 unter www.bundestag.de &gt; Dokumente &amp; Recherche &gt; Drucksachen; zu den wirtschaftlichen Eckda­ten allgemein vgl. Staatssekretariat für Wirtschaft &gt; Themen &gt; Aus­senwirtschaft &gt; Länderinformationen &gt; Asien/Ozeanien &gt; Thailand, &lt;http://www.seco.admin.ch&gt;, Stand: Dezember 2011, besucht im August 2012; vgl. auch Urteil des Bundesverwaltungsgerichts C-8450/2010 vom 21. November 2011 E. 5.3.2).</w:t>
      </w:r>
    </w:p>
    <w:p>
      <w:r>
        <w:rPr>
          <w:b/>
        </w:rPr>
        <w:t>E. 5.4.3</w:t>
      </w:r>
    </w:p>
    <w:p>
      <w:r>
        <w:t>Vor dem Hintergrund der fortbestehenden ungünstigen Lebensverhältnisse ist - vor allem in der jüngeren Bevölkerung - ein starker Migrationsdruck festzustellen. Dabei gilt auch die Schweiz als Zielland vieler Auswanderer im erwerbsfähigen Alter, welche sich hier unter besseren Lebensbedingungen eine (neue) Existenz aufbauen möchten. Diese Tendenz zur Auswanderung wird erfahrungsgemäss dort noch begünstigt, wo bereits ein soziales Beziehungsnetz (Verwandte, Freunde) im Ausland besteht. Im Falle der Schweiz führt dies angesichts der restriktiven Zulassungsregelung oftmals zur Umgehung ausländerrechtlicher Bestimmungen. Dabei wird nicht selten versucht, den Aufenthalt zu verlängern oder - beispielsweise durch Ausbildung oder Heirat - auf eine andere migrationsrechtliche Grundlage zu stellen.</w:t>
      </w:r>
    </w:p>
    <w:p>
      <w:r>
        <w:rPr>
          <w:b/>
        </w:rPr>
        <w:t>E. 5.5</w:t>
      </w:r>
    </w:p>
    <w:p>
      <w:r>
        <w:t>Bei der Risikoanalyse sind allerdings nicht nur solch allgemeine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Andererseits muss bei Personen, die in ihrer Heimat keine besonderen Verpflichtungen haben, das Risiko für ein ausländerrecht­lich nicht regelkonformes Verhalten (nach bewilligter Ein­reise zu einem Besuchsaufenthalt) hoch eingeschätzt werden.</w:t>
      </w:r>
    </w:p>
    <w:p>
      <w:r>
        <w:rPr>
          <w:b/>
        </w:rPr>
        <w:t>E. 6.1</w:t>
      </w:r>
    </w:p>
    <w:p>
      <w:r>
        <w:t>Die aus einer der Nordostprovinzen Thailands stammende Gesuchstellerin ist 23-jährig und unverheiratet. Gemäss den Angaben des Beschwerdeführers gegenüber dem Migrationsdienst der Stadt Thun soll sie keine Familie mehr in Thailand haben, was auch von der Auslandvertretung bestätigt wurde (vgl. die Bemerkungen der Schweizerischen Botschaft in Bangkok vom 25. Oktober 2011). Es kann demnach nicht davon ausgegangen werden, im persönlichen oder familiären Umfeld der Eingeladenen seien Verpflichtungen oder gar Abhängigkeiten vorhanden, die besondere Gewähr für eine Rückkehr nach Thailand bieten könnten. Tritt hinzu, dass in Situationen angespannter wirtschaftlicher und/oder politischer Verhältnisse selbst zurückbleibende nahe Angehörige regelmässig nicht verlässlich davon abhalten könnten, den Entscheid für eine Emigration zu fällen.</w:t>
      </w:r>
    </w:p>
    <w:p>
      <w:r>
        <w:rPr>
          <w:b/>
        </w:rPr>
        <w:t>E. 6.2</w:t>
      </w:r>
    </w:p>
    <w:p>
      <w:r>
        <w:t>Auch die wirtschaftlichen Verhältnisse bieten keine besondere Gewähr für eine Wiederausreise. Im Zeitpunkt der Gesuchseinreichung ging die Eingeladene, die seit Jahren von ihrem Stiefvater in der Schweiz finanziell voll unterstützt wird, keiner Erwerbstätigkeit nach (vgl. Ziff. 19 und 20 des persönlichen Einreisegesuches). Die Beschwerdeführer weisen in diesem Zusammenhang darauf hin, dass die Gesuchstellerin ihre Schule beendet habe und nach ihrem Besuchsaufenthalt in der Schweiz eine kaufmännische Ausbildung oder eine solche in der Spitalpflege beginnen möchte. Entsprechend lässt sich zum heutigen Zeitpunkt auch nicht abschätzen, welche beruflichen und wirtschaftlichen Perspektiven die Eingeladene hat. Vor dem Hintergrund der aufgezeigten Verhältnisse vor Ort versteht sich von selbst, dass allein der Umstand einer laufenden oder gar erst beabsichtigten Berufsbildung nicht schon den Schluss auf intakte Zukunftsperspektiven im Heimatland und damit auf ein nicht vorhandenes Emigrationsrisiko zulässt. Dies umso weniger, als mit der Gastgeberin und Beschwerdeführerin - der Mutter der Eingeladenen - bereits die engste Familienangehörige in die Schweiz übersiedelt ist. Diesem Gesichtspunkt gilt es bei der Beurteilung des vorliegenden Einreisegesuches Rechnung zu tragen, ist doch das Risiko, dass die Eingeladene nach dem Gesagten ebenfalls einen dauerhaften Aufenthalt in der Schweiz anstreben könnte, nicht bloss als gering einzustufen.</w:t>
      </w:r>
    </w:p>
    <w:p>
      <w:r>
        <w:rPr>
          <w:b/>
        </w:rPr>
        <w:t>E. 6.3</w:t>
      </w:r>
    </w:p>
    <w:p>
      <w:r>
        <w:t>Vor dem allgemeinen und persönlichen Hintergrund konnte die Vorinstanz demnach willkürfrei davon ausgehen, dass keine hinreichende Gewähr für eine fristgerechte und anstandslose Wiederausreise der Gesuchstellerin nach einem Besuchsaufenthalt besteht. An dieser Einschätzung vermögen die gegenteiligen Zusicherungen der Beschwerdeführer nichts zu ändern. Als Gastgeber können sie mit rechtlich verbindlicher Wirkung zwar für gewisse finanzielle Risiken im Zusammenhang mit dem Besuchsaufenthalt, nicht aber für ein bestimmtes Tun oder Unterlassen ihres Gastes einstehen (vgl. in diesem Zusammenhang BVGE 2009/27 E. 9). Der Wunsch der Beschwerdeführerin, der Tochter ihr neues Lebensumfeld in der Schweiz zeigen zu können, hat demnach in den Hintergrund zu treten. Es ist nicht ernsthaft zu bezweifeln, dass die familiäre Beziehung auch in Zukunft durch Besuche in Thailand gepflegt werden kann. Die Visumsverweigerung erscheint unter besagtem Gesuchspunkt daher auch nicht als unverhältnismässig.</w:t>
      </w:r>
    </w:p>
    <w:p>
      <w:r>
        <w:rPr>
          <w:b/>
        </w:rPr>
        <w:t>E. 6.4</w:t>
      </w:r>
    </w:p>
    <w:p>
      <w:r>
        <w:t>Bei dieser Sach- und Rechtslage kann offen bleiben, ob von der Vorinstanz zu Recht ein zusätzlicher Hinderungsgrund in Form einer bei den Beschwerdeführern bestehenden ungenügenden Garantiefähigkeit angenommen wurde (vgl. insb. Ziff. 4.3 hievor). Ebenso unerheblich ist, dass es sich bei ihnen "lediglich" um Rentner handelt. So werden entsprechende Einreisebewilligungen - falls die übrigen Voraussetzungen erfüllt sind - auch bei Gastgebern, die nicht zu den sogenannten Gutbetuchten und Millionären gehören, erteilt. Eine rechtsungleiche Behandlung liegt somit nicht vor. Aus den gleichen Gründen kann auch die Frage offen gelassen werden, ob die Beschwerdeführer allenfalls durch das Verschweigen wesentlicher Tatsachen im Gesuchsverfahren die Behörden bewusst täuschen wollten, um ein Visum zugunsten der Gesuchstellerin zu erschleichen (vgl. Art. 12 Abs. 2 Bst. b VEV). In ihrem an die Schweizerische Botschaft in Bangkok gerichteten Einladungsschreiben vom 21. September 2011 hielten sie nämlich explizit fest, sie hätten bis jetzt keine anderen Personen aus Thailand in die Schweiz eingeladen. Diese Behauptung trifft nur bezüglich der Beschwerdeführerin und Mutter der Eingeladenen zu. Aktenkundig steht nämlich fest, dass der Gastgeber in den Jahren 2003 und 2004 einer damals 42-jährigen Thailänderin zu einem dreimonatigen Besuchsaufenthalt in der Schweiz, der jeweils auf sechs Monate ausgedehnt wurde, verholfen hatte. Auf entsprechende Frage gab dieser in seinem Antwortschreiben an den Migrationsdienst der Stadt Thun vom 23. November 2011 denn auch zu, in der Vergangenheit wiederholt seine damalige thailändische Freundin zu sich eingeladen zu haben.</w:t>
      </w:r>
    </w:p>
    <w:p>
      <w:r>
        <w:rPr>
          <w:b/>
        </w:rPr>
        <w:t>E. 7</w:t>
      </w:r>
    </w:p>
    <w:p>
      <w:r>
        <w:t>Aus vorstehenden Erwägungen folgt, dass die angefochtene Verfügung im Lichte von Art. 49 VwVG nicht zu beanstanden ist. Die Beschwerde ist daher abzuweisen.</w:t>
      </w:r>
    </w:p>
    <w:p>
      <w:r>
        <w:rPr>
          <w:b/>
        </w:rPr>
        <w:t>E. 8</w:t>
      </w:r>
    </w:p>
    <w:p>
      <w:r>
        <w:t>Entsprechend dem Ausgang des Verfahrens werden die unterliegenden Beschwerdeführer kostenpflichtig (Art. 63 Abs. 1 VwVG). Die Verfahrenskosten sind auf Fr. 800.- festzusetzen (Art. 1 ff. des Reglements vom 21. Februar 2008 über die Kosten und Entschädigungen vor dem Bundesverwaltungsgericht [VGKE, SR 173.320.2]). Dispositiv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