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C-4752/2009 vom 9. Dezember 2009</w:t>
      </w:r>
    </w:p>
    <w:p>
      <w:r>
        <w:t>Bundesverwaltungsgericht, 2009-12-09, DE</w:t>
      </w:r>
    </w:p>
    <w:p>
      <w:r>
        <w:rPr>
          <w:b/>
        </w:rPr>
        <w:t xml:space="preserve">Quelle: </w:t>
      </w:r>
      <w:r>
        <w:t>https://mcp.opencaselaw.ch/entscheid/bvger_C-4752_2009</w:t>
      </w:r>
    </w:p>
    <w:p>
      <w:r>
        <w:t>FR: TAF C-4752/2009 du 9 décembre 2009</w:t>
      </w:r>
    </w:p>
    <w:p>
      <w:r>
        <w:t>IT: TAF C-4752/2009 del 9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Visumpflicht.</w:t>
      </w:r>
    </w:p>
    <w:p>
      <w:r>
        <w:rPr>
          <w:b/>
        </w:rPr>
        <w:t>E. 6.1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liegt bei 45%; 15% der Staatsbürger leben sogar in extremer Armut (vgl. &lt;http://www.worldbank.org&gt;, Countries &gt; Europe and Central Asia &gt; Kosovo &gt; Overview &gt; Country Brief - November 2009, besucht im November 2009). Der Zuwanderungsdruck aus dieser Region ist dementsprechend hoch, was sich auch in der schweizerischen Asylstatistik widerspiegelt. So stammten im Jahr 2008 7.8% der Asylsuchenden aus dem Gebiet von Serbien und dem Kosovo. Diese Region stand damit in der Statistik der Asylgesuche nach Nationen an vierter Stelle (vgl. kommentierte BFM-Asylstatistik 2008, S. 9). Seit dem 1. April 2009 gelten Serbien und Kosovo zwar als verfolgungssichere Staaten (Safe Countries), dies gemäss Beschluss des Bundesrates vom 6. März 2009. Es wird sich aber zeigen müssen, ob und falls ja, welchen Einfluss dies auf künftige Asylbewerberzahlen haben wird. Immerhin stellten im 2. Quartal 2009 noch 142 Personen aus dem Kosovo hier ein Asylgesuch. Im 3. Quartal stieg die Zahl auf 179 Gesuche (+37 = +26.1%). Kosovo liegt damit in der Quartalsstatistik der Asylgesuche nach Nationen an siebter Stelle (vgl. kommentierte Asylstatistik des BFM 3. Quartal 2009, S. 7).</w:t>
      </w:r>
    </w:p>
    <w:p>
      <w:r>
        <w:rPr>
          <w:b/>
        </w:rPr>
        <w:t>E. 6.3</w:t>
      </w:r>
    </w:p>
    <w:p>
      <w:r>
        <w:t>In Anbetracht der vorerwähnten Verhältnisse im Kosovo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7.1</w:t>
      </w:r>
    </w:p>
    <w:p>
      <w:r>
        <w:t>Beim Gesuchsteller handelt es sich um einen 31-jährigen, ledigen Mann. Über seine persönliche Situation ist bekannt, dass er der Neffe des Beschwerdeführers sein soll. Gemäss Akten obliegen ihm jedoch keine familiären Verpflichtungen (wie insbesondere gegenüber eigenen Kindern); ausser dem Beschwerdeführer sollen angeblich alle seine Familienangehörigen im Kosovo leben. Der Gesuchsteller war noch nie in der Schweiz und erhielt bisher auch noch nie ein Schengen-Visum ausgestellt.</w:t>
      </w:r>
    </w:p>
    <w:p>
      <w:r>
        <w:rPr>
          <w:b/>
        </w:rPr>
        <w:t>E. 7.2</w:t>
      </w:r>
    </w:p>
    <w:p>
      <w:r>
        <w:t>Der Gesuchsteller war zum Zeitpunkt der Visumantragsstellung arbeitslos. Es liegen keine Belege vor, die zuverlässige Rückschlüsse auf die wirtschaftlichen Verhältnisse ziehen lassen, in denen der Gesuchsteller lebt. Aufgrund der vorliegenden Akten kann jedenfalls nicht davon ausgegangen werden, der Gesuchsteller befinde sich in vorteilhaften und stabilen wirtschaftlichen Verhältnissen, die ihn nachhaltig davon abzuhalten vermöchten, eine Emigration in die Schweiz in Erwägung zu ziehen.</w:t>
      </w:r>
    </w:p>
    <w:p>
      <w:r>
        <w:rPr>
          <w:b/>
        </w:rPr>
        <w:t>E. 8</w:t>
      </w:r>
    </w:p>
    <w:p>
      <w:r>
        <w:t>An dieser Risikoeinschätzung vermögen auch die vom Beschwerdeführer eingereichten Belege betreffend seine persönliche finanzielle und berufliche Situation sowie seine Garantieerklärung vom 6. Juni 2009 nichts zu ändern. Die Integrität des Beschwerdeführers in seiner Eigenschaft als Gastgeber wird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9</w:t>
      </w:r>
    </w:p>
    <w:p>
      <w:r>
        <w:t>Folglich ist nicht zu beanstanden, dass die Vorinstanz das öffentliche Interesse sowie die Beachtung der geltenden Bestimmungen entsprechend gewichtete und dem Gesuchsteller die Einreise verweigerte. Da es keinen Anspruch auf die Erteilung eines Visums gibt (vgl. dazu vorne Ziff. 3), liegt auch nicht im Geringsten ein Verstoss gegen die Grundrechte des Beschwerdeführers vor, wie dies von ihm gerügt wird. Weder aus Art. 13 der Bundesverfassung der Schweizerischen Eidgenossenschaft vom 18. April 1999 (BV, SR 101) noch aus Art. 8 der Konvention vom 4. November 1950 zum Schutze der Menschenrechte und Grundfreiheiten (EMRK, SR 0.101) ergibt sich ein Recht auf Einreise oder auf ein Familienleben an einem bestimmten Ort. Ein Eingriff in den Schutzbereich des Privat- und Familienlebens läge grundsätzlich erst dann vor, wenn sich die Betroffenen überhaupt nirgends treffen könnten und der persönliche Kontakt deshalb nur in der Schweiz möglich wäre, was in casu keineswegs zutrifft (vgl. zum Ganzen Urteil des Bundesverwaltungsgericht C-3085/2008 vom 10. September 2009 E. 12.1 und 12.2 mit Hinweisen). Die angefochtene Verfügung verletzt daher das Bundesrecht nicht. Soweit für das vorliegende Urteil massgebend wurde der rechtserhebliche Sachverhalt richtig und vollständig festgestellt, und die Vorinstanz hat das ihr zustehende Ermessen pflichtgemäss ausgeübt (vgl. Art. 49 VwVG).</w:t>
      </w:r>
    </w:p>
    <w:p>
      <w:r>
        <w:rPr>
          <w:b/>
        </w:rPr>
        <w:t>E. 10</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