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C-4738/2019 vom 14. November 2023</w:t>
      </w:r>
    </w:p>
    <w:p>
      <w:r>
        <w:t>Bundesverwaltungsgericht, 2023-11-14, DE</w:t>
      </w:r>
    </w:p>
    <w:p>
      <w:r>
        <w:rPr>
          <w:b/>
        </w:rPr>
        <w:t xml:space="preserve">Quelle: </w:t>
      </w:r>
      <w:r>
        <w:t>https://mcp.opencaselaw.ch/entscheid/bvger_C-4738_2019</w:t>
      </w:r>
    </w:p>
    <w:p>
      <w:r>
        <w:t>FR: TAF C-4738/2019 du 14 novembre 2023</w:t>
      </w:r>
    </w:p>
    <w:p>
      <w:r>
        <w:t>IT: TAF C-4738/2019 del 14 novembre 2023</w:t>
      </w:r>
    </w:p>
    <w:p>
      <w:pPr>
        <w:pStyle w:val="Heading2"/>
      </w:pPr>
      <w:r>
        <w:t>Regeste</w:t>
      </w:r>
    </w:p>
    <w:p>
      <w:r>
        <w:t>Zulassungen (inkl. Änderungen)</w:t>
      </w:r>
    </w:p>
    <w:p>
      <w:pPr>
        <w:pStyle w:val="Heading2"/>
      </w:pPr>
      <w:r>
        <w:t>Erwägungen</w:t>
      </w:r>
    </w:p>
    <w:p>
      <w:r>
        <w:rPr>
          <w:b/>
        </w:rPr>
        <w:t>E. 1</w:t>
      </w:r>
    </w:p>
    <w:p>
      <w:r>
        <w:t>Das Bundesverwaltungsgericht ist zur Beurteilung von Beschwerden ge- gen Verfügungen der Anstalten und Betriebe des Bundes (Art. 33 Bst. e VGG [SR 173.32]) zuständig. Die Swissmedic ist eine öffentlich-rechtliche Anstalt des Bundes (Art. 68 Abs. 2 HMG [SR 812.21]) und die angefochte- nen Verwaltungsakte sind ohne Zweifel als Verfügungen im Sinne von Art. 5 VwVG zu qualifizieren. Zudem liegt keine Ausnahme i.S. von Art. 32 VGG vor, sodass das Bundesverwaltungsgericht zuständig ist.</w:t>
      </w:r>
    </w:p>
    <w:p>
      <w:r>
        <w:rPr>
          <w:b/>
        </w:rPr>
        <w:t>E. 2</w:t>
      </w:r>
    </w:p>
    <w:p>
      <w:r>
        <w:t>Die Vorinstanz und die Beschwerdeführerin beantragen übereinstimmend, dass das Beschwerdeverfahren infolge Gegenstandslosigkeit abzuschrei- ben sei.</w:t>
      </w:r>
    </w:p>
    <w:p>
      <w:r>
        <w:rPr>
          <w:b/>
        </w:rPr>
        <w:t>E. 2.1</w:t>
      </w:r>
    </w:p>
    <w:p>
      <w:r>
        <w:t>Die verfügende Behörde kann trotz des Devolutiveffekts in Anwendung von Art. 58 Abs. 1 und 2 VwVG auf ihren ursprünglichen Entscheid zurück- kommen und diesen in Wiedererwägung ziehen. Gemäss Art. 58 Abs. 3 VwVG setzt die Beschwerdeinstanz die Behandlung der Beschwerde je- doch fort, soweit diese durch die neue Verfügung der Vorinstanz nicht ge- genstandslos geworden ist (Art. 58 Abs. 3 VwVG).</w:t>
      </w:r>
    </w:p>
    <w:p>
      <w:r>
        <w:rPr>
          <w:b/>
        </w:rPr>
        <w:t>E. 2.2</w:t>
      </w:r>
    </w:p>
    <w:p>
      <w:r>
        <w:t>Die Beschwerdeführerin beantragte mit Beschwerde vom 16. Septem- ber 2019 einzig, dass das Arzneimittel B._______ in die Abgabekategorie D einzuteilen sei. Auch wenn die Vorinstanz mit der in der Wiedererwä- gungsverfügung eingefügten Ziffer 3 die Umteilung in die Abgabekategorie D mit einer veränderten Anpassung der Arzneimittelinformation (Fachinfor- mation und Patienteninformation) verbindet, trägt die neue Verfügung im Ergebnis dem Grundanliegen der Beschwerdeführerin vollumfänglich Rechnung, worauf die Beschwerdeführerin mit Stellungnahme vom 7. Sep- tember 2023 denn auch selbst zutreffend hinweist (vgl. BVGer-act. 29). So- mit ist dem Antrag der Beschwerdeführerin mit der Verfügung vom 18. Juli 2023, mit welcher die Vorinstanz pendente lite auf ihre ursprünglich ange- fochtene Verfügung vom 26. Juli 2019 zurückgekommen ist, indem sie neu das Arzneimittel B._______ in die Abgabekategorie D umgeteilt hat (Dis- positiv Ziffer 2), vollumfänglich entsprochen worden, was denn auch von keiner Partei bestritten wird.</w:t>
      </w:r>
    </w:p>
    <w:p>
      <w:r>
        <w:rPr>
          <w:b/>
        </w:rPr>
        <w:t>E. 2.3</w:t>
      </w:r>
    </w:p>
    <w:p>
      <w:r>
        <w:t>Die Beschwerde ist demnach in den Hauptanträgen antragsgemäss als durch Wiedererwägung vollumfänglich gegenstandslos geworden abzu- schreiben.</w:t>
      </w:r>
    </w:p>
    <w:p>
      <w:r>
        <w:t>C-4738/2019 Seite 8</w:t>
      </w:r>
    </w:p>
    <w:p>
      <w:r>
        <w:rPr>
          <w:b/>
        </w:rPr>
        <w:t>E. 3</w:t>
      </w:r>
    </w:p>
    <w:p>
      <w:r>
        <w:t>Es bleibt über die Anträge der Beschwerdeführerin hinsichtlich der Kosten im vorinstanzlichen Verwaltungsverfahren zu befinden. Ein neuer, während eines hängigen Verfahrens erlassener Sachentscheid ersetzt die angefochtene Verfügung, weshalb dieser durch die bereits er- hobene Beschwerde gegen die ursprüngliche Verfügung als mit angefoch- ten gilt (ANDREA PFLEIDERER, in: Bernhard Waldmann/Philippe Weissen- berger [Hrsg.], Praxiskommentar Verwaltungsverfahrensgesetz [nachfol- gend: Praxiskommentar VwVG], 3. Aufl. 2023, Art. 58 N. 44 und 46).</w:t>
      </w:r>
    </w:p>
    <w:p>
      <w:r>
        <w:rPr>
          <w:b/>
        </w:rPr>
        <w:t>E. 3.1</w:t>
      </w:r>
    </w:p>
    <w:p>
      <w:r>
        <w:t>Mit Wiedererwägungsverfügung vom 18. Juli 2023 hat die Vorinstanz die Gebühr auf Fr. 1'900.– festgesetzt und der Beschwerdeführerin zur Be- zahlung auferlegt (Beilage 1 zu BVGer-act. 26). Diese Gesamtgebühr setzt sich aus den folgenden Teilbeträgen zusammen: Aufwandpauschale: (1.5 Stunden Arbeit à Fr. 200.–)</w:t>
      </w:r>
    </w:p>
    <w:p>
      <w:r>
        <w:t>Fr. 300.–</w:t>
      </w:r>
    </w:p>
    <w:p>
      <w:r>
        <w:t>Mehraufwand für die Begutachtung der Stellungnahme: (5 Stunden Arbeit à Fr. 200.–)</w:t>
      </w:r>
    </w:p>
    <w:p>
      <w:r>
        <w:t>Fr. 1'000.–</w:t>
      </w:r>
    </w:p>
    <w:p>
      <w:r>
        <w:t>Mehraufwand für die Wiedererwägung: (3 Stunden Arbeit à Fr. 200.–)</w:t>
      </w:r>
    </w:p>
    <w:p>
      <w:r>
        <w:t>Fr. 600.–</w:t>
      </w:r>
    </w:p>
    <w:p>
      <w:r>
        <w:rPr>
          <w:b/>
        </w:rPr>
        <w:t>E. 3.2</w:t>
      </w:r>
    </w:p>
    <w:p>
      <w:r>
        <w:t>Die Beschwerdeführerin macht geltend, die Wiedererwägungsverfü- gung sei nicht durch sie veranlasst worden. Vielmehr habe die Vorinstanz die Wiedererwägung aufgrund einer eigenen, erneuten Evaluation des Heilmittels veranlasst und ihr damit im Ergebnis vollumfänglich Recht ge- geben. Deshalb verstosse Ziffer 5 der Verfügung vom 18. Juli 2023 klarer- weise gegen Art. 2 der Verordnung des Schweizerischen Heilmittelinstituts über seine Gebühren vom 14. September 2018 (GebV-Swissmedic; SR 812.214.5) i.V.m. Art. 2 der Allgemeinen Gebührenverordnung (AllgGebV; SR 172.041.1) und sei aufzuheben (BVGer-act. 29).</w:t>
      </w:r>
    </w:p>
    <w:p>
      <w:r>
        <w:rPr>
          <w:b/>
        </w:rPr>
        <w:t>E. 3.3</w:t>
      </w:r>
    </w:p>
    <w:p>
      <w:r>
        <w:t>Nach einheitlicher Lehre und Rechtsprechung bedürfen Verwaltungs- gebühren grundsätzlich einer Grundlage in einem Gesetz im formellen Sinn. Delegiert das Gesetz die Kompetenz zur (rechtssatzmässigen) Fest- setzung einer Abgabe an den Verordnungsgeber, so muss es zumindest den Kreis der Abgabepflichtigen, den Gegenstand und die Bemessungs- grundlage der Abgabe selber festlegen (vgl. BGE 125 I 173 E. 9; 123 I 248 E. 2; 120 Ia 1 E. 3; HÄFELIN/MÜLLER/UHLMANN, Verwaltungsrecht, 8. Aufl. 2020, Rz. 2799 f.). Auf die Festsetzung von Bemessungsregeln und insbe-</w:t>
      </w:r>
    </w:p>
    <w:p>
      <w:r>
        <w:t>C-4738/2019 Seite 9 sondere der Abgabehöhe im formellen Gesetz kann allerdings dann ver- zichtet werden, wenn dem Bürger die Überprüfung der Abgabe anhand von verfassungsrechtlichen Prinzipien (insb. Kostendeckungs- und Äquivalenz- prinzip) offensteht (vgl. etwa BGE 126 I 180 E. 3a/aa und BGE 130 III 225 E. 2.3). Das Kostendeckungsprinzip gebietet, dass der Gesamtertrag der Gebüh- reneinnahmen eines Verwaltungszweiges dessen Kosten nicht oder nur geringfügig übersteigt. Dieses Prinzip muss insbesondere dann eingehal- ten werden, wenn die Kostenabhängigkeit einer Verwaltungsgebühr im Ge- setz ausdrücklich vorgesehen ist (vgl. BGE 126 I 180 E. 3a/aa ff.; 121 I 230 E. 3; HÄFELIN/MÜLLER/UHLMANN, a.a.O., Rz. 2778 ff.). Nach dem Äquivalenzprinzip muss die Höhe der Gebühr im Einzelfall in einem vernünftigen Verhältnis stehen zum Wert, den die staatliche Leis- 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 wand entsprechen; sie sollen indessen nach sachlich vertretbaren Kriterien bemessen sein und nicht Unterscheidungen treffen, für die keine vernünf- tigen Gründe ersichtlich sind (BGE 139 III 334, E. 3.2.4; HÄFELIN/MÜL- LER/UHLMANN, a.a.O., Rz. 2785 ff.).</w:t>
      </w:r>
    </w:p>
    <w:p>
      <w:r>
        <w:rPr>
          <w:b/>
        </w:rPr>
        <w:t>E. 3.4</w:t>
      </w:r>
    </w:p>
    <w:p>
      <w:r>
        <w:t>Gemäss der formell-gesetzlichen Grundlage von Art. 65 Abs. 1 Satz 1 HMG erhebt das Institut für seine Bewilligungen, Kontrollen und Dienstleis- 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 mittelinstituts über seine Gebühren vom 14. September 2018, welche vom Bundesrat am 21. September 2018 genehmigt wurde (GebV-Swissmedic). Die Verordnung ist seit 1. Januar 2019 in Kraft.</w:t>
      </w:r>
    </w:p>
    <w:p>
      <w:r>
        <w:rPr>
          <w:b/>
        </w:rPr>
        <w:t>E. 3.5</w:t>
      </w:r>
    </w:p>
    <w:p>
      <w:r>
        <w:t>Die Gebührenverordnung-Swissmedic legt die Gebühren fest, die das Schweizerische Heilmittelinstitut für Zulassungen, Bewilligungen, Kontrol- len und Dienstleistungen erhebt (Art. 1 Abs. 1 GebV-Swissmedic). Verwal- tungsgebühren muss bezahlen, wer Verwaltungshandlungen veranlasst</w:t>
      </w:r>
    </w:p>
    <w:p>
      <w:r>
        <w:t>C-4738/2019 Seite 10 (Art. 3 Abs. 1 GebV-Swissmedic). Die Gebühren werden nach festen Ge- bührensätzen gemäss den Anhängen 1 und 2 oder nach Aufwand bemes- sen. Für die Umteilung in eine andere Abgabekategorie (grosse Änderung des Typs II) kann das Institut gemäss Ziffer 5.5 des Anhangs 1 der GebV- Swissmedic für Humanarzneimittel eine Gebühr von Fr. 5'000.– erheben. Der Stundenansatz für die Gebühr nach Aufwand beträgt Fr. 200.– (Art. 4 Abs. 1 und 2 GebV-Swissmedic). In Verwaltungsverfahren, die einen er- 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 sondert in Rechnung (Art. 5 Abs. 1 und 2 GebV-Swissmedic). Die Gebüh- ren können gemäss Art. 8 ff. GebV-Swissmedic reduziert werden, wenn die hierfür erforderlichen Voraussetzungen erfüllt sind.</w:t>
      </w:r>
    </w:p>
    <w:p>
      <w:r>
        <w:rPr>
          <w:b/>
        </w:rPr>
        <w:t>E. 3.6</w:t>
      </w:r>
    </w:p>
    <w:p>
      <w:r>
        <w:t>Die gerügte Gebührenerhebung beruht demnach auf einer rechtlichen Grundlage und es ist im Wesentlichen unbestritten, dass die Vorinstanz einen Verwaltungsaufwand hatte, den sie der Beschwerdeführerin in Rech- nung stellen durfte. Zu prüfen bleibt, ob die vorliegend von der Vorinstanz erhobene Gebühr von Fr. 1'900.– angemessen ist.</w:t>
      </w:r>
    </w:p>
    <w:p>
      <w:r>
        <w:rPr>
          <w:b/>
        </w:rPr>
        <w:t>E. 3.7</w:t>
      </w:r>
    </w:p>
    <w:p>
      <w:r>
        <w:t>Zunächst ist in Bezug auf die Aufwandpauschale von Fr. 300.– festzu- halten, dass diese die individuelle Beurteilung der Umteilung des Arznei- mittelns inklusive Anordnung von Auflagen und Erstellung des Vorbe- scheids betrifft. Die Erhebung der Aufwandpauschale von 1.5 Stunden Ar- beit à Fr. 200.– ist nicht zu beanstanden (vgl. Art. 4 Abs. 1 und 2 GebV- Swissmedic; vgl. Urteil des BVGer C-4125/2019 vom 10. März 2021 E. 8.5.1). Dieser Aufwand wäre denn auch vor Eintritt der Gegenstandslo- sigkeit und bei erstmaliger Einteilung des Arzneimittels B._______ in die Abgabekategorie D entstanden und der Beschwerdeführerin als Zulas- sungsinhaberin auferlegt worden (vgl. BGE 128 II 247 E. 6.1 m.H.; vgl. ganz grundsätzlich zu den Kausalabgaben: TSCHANNEN/MÜLLER/KERN, All- gemeines Verwaltungsrecht, 5. Aufl. 2022, Rz. 1601 ff. und 1632 ff.; RENÉ WIEDERKEHR, Kausalabgaben – Arten, Bemessung und Gesetzmässigkeit: eine Übersicht über die neuere Rechtsprechung und Doktrin, recht 3/2023, S. 134 ff.).</w:t>
      </w:r>
    </w:p>
    <w:p>
      <w:r>
        <w:rPr>
          <w:b/>
        </w:rPr>
        <w:t>E. 3.8</w:t>
      </w:r>
    </w:p>
    <w:p>
      <w:r>
        <w:t>Sodann wird von der Vorinstanz ein Mehraufwand von Fr. 1'000.– (5 Stunden Arbeit à Fr. 200.–) für die Begutachtung der Stellungnahmen im vorinstanzlichen Verfahren in Rechnung gestellt. Dieser Betrag stimmt</w:t>
      </w:r>
    </w:p>
    <w:p>
      <w:r>
        <w:t>C-4738/2019 Seite 11 denn auch mit der ursprünglichen – nunmehr aufgehobenen – Verfügung vom 26. Juli 2019 überein (vgl. act. 1, S. 5 f. = BVGer-act. 1, Beilage 2). Neu auferlegt die Vorinstanz der Beschwerdeführerin zusätzlich Fr. 600.– für den im Zusammenhang mit der Wiedererwägung entstanden Mehrauf- wand (3 Stunden Arbeit à Fr. 200.–).</w:t>
      </w:r>
    </w:p>
    <w:p>
      <w:r>
        <w:rPr>
          <w:b/>
        </w:rPr>
        <w:t>E. 3.8.1</w:t>
      </w:r>
    </w:p>
    <w:p>
      <w:r>
        <w:t>Die strittige Umteilung durch die Vorinstanz erfolgte von Amtes we- gen und ist in der Revision des HMG begründet, mit welcher die Abgabe- kategorie C (Kategorie ohne Verschreibungspflicht/Abgabe nach Fachbe- ratung durch Medizinalpersonen [vgl. Art. 25 der Verordnung vom 17. Ok- tober 2001 über die Arzneimittel {Arzneimittelverordnung; aVAM; SR 812.212.21}, in Kraft bis 31.12.2018 {AS 2018 3577}]) aufgehoben wurde. Das Arzneimittel der Beschwerdeführerin B._______ war gemäss Rechtslage bis 31. Dezember 2018 in die Abgabekategorie C eingeteilt.</w:t>
      </w:r>
    </w:p>
    <w:p>
      <w:r>
        <w:rPr>
          <w:b/>
        </w:rPr>
        <w:t>E. 3.8.2</w:t>
      </w:r>
    </w:p>
    <w:p>
      <w:r>
        <w:t>Ein Arzneimittel ist gestützt auf Art. 42 Bst. f VAM insbesondere dann in die Kategorie der verschreibungspflichtigen Arzneimittel (Abgabekatego- rie B) einzuteilen, wenn «seine Abgabe die Fachberatung durch eine Me- dizinalperson erfordert». Diese im Rahmen der Totalrevision der Arzneimittelverordnung neu einge- fügte Regelung verdeutlicht gemäss den Erläuterungen zur Verordnung über die Arzneimittel, dass die Abgabe verschreibungspflichtiger Arzneimit- tel in jedem Fall einer Fachberatung durch eine Ärztin beziehungsweise einen Arzt oder eine Apothekerin beziehungsweise einen Apotheker be- darf. Dies ist insbesondere im Kontext der neu geschaffenen Möglichkeit zur Abgabe von Arzneimitteln der Abgabekategorie B durch Apothekerin- nen und Apotheker ohne Vorliegen einer ärztlichen Verschreibung von Be- deutung, wobei auf Art. 45 VAM weiterverwiesen wird (vgl. Erläuterungen zur Verordnung über die Arzneimittel vom September 2018, Art. 42, S. 27 f.).</w:t>
      </w:r>
    </w:p>
    <w:p>
      <w:r>
        <w:rPr>
          <w:b/>
        </w:rPr>
        <w:t>E. 3.8.3</w:t>
      </w:r>
    </w:p>
    <w:p>
      <w:r>
        <w:t>Das Bundesverwaltungsgericht erwog in seinem unangefochten ge- bliebenen Urteil C-5006/2019 vom 31. März 2021, dass der von der Vor- instanz als Rechtsgrundlage für die Umteilung genannte Art. 45 Abs. 1 Bst. c VAM (vgl. daselbst E. 5.3.3) die Abgabe verschreibungspflichtiger Arzneimittel durch Apothekerinnen und Apotheker regle, nicht jedoch Kri- terien für die Einteilung in die einzelnen Abgabekategorien aufstelle. So befinde sich dieser Artikel in der Systematik der Arzneimittelverordnung zwar im gleichen Kapitel «Abgabekategorien und Abgabe» wie Art. 42 VAM, jedoch nicht im 2. Abschnitt «Kategorien mit Verschreibungspflicht»,</w:t>
      </w:r>
    </w:p>
    <w:p>
      <w:r>
        <w:t>C-4738/2019 Seite 12 sondern im 4. Abschnitt «Anforderungen an die Abgabe» (daselbst E. 7.3.2 in fine). Zu Art. 42 Bst. f VAM (daselbst E. 5.3.2) hielt das Bundesverwal- tungsgericht zudem fest, dass diese Bestimmung kein geeignetes, eigen- ständiges Kriterium für die Einteilung von Arzneimitteln in die Abgabekate- gorie B sei, sondern neben (mindestens) einem weiteren Kriterium gemäss Art. 42 VAM bei allen verschreibungspflichtigen Arzneimitteln zu erfüllen sei. Das Kriterium für die Einteilung in die verschreibungspflichtige Abga- bekategorie B gemäss Art. 42 Bst. f VAM sei die Notwendigkeit der Fach- beratung durch eine Medizinalperson, während genau dieses Kriterium verdeutlichen solle, dass die Abgabe verschreibungspflichtiger Arzneimittel in jedem Fall einer Fachberatung durch eine Medizinalperson bedürfe. Diese Begründung erweise sich als Zirkelschluss (daselbst E. 7.3.2).</w:t>
      </w:r>
    </w:p>
    <w:p>
      <w:r>
        <w:rPr>
          <w:b/>
        </w:rPr>
        <w:t>E. 3.8.4</w:t>
      </w:r>
    </w:p>
    <w:p>
      <w:r>
        <w:t>Bereits in ihrem Vorbescheid vom 4. Februar 2019 führte die Vorinstanz aus, das Arzneimittel B._______ sei zur Gewährleistung der für die sichere Anwendung erforderlichen Fachberatung in die Abgabekatego- rie B umzuteilen. D._______ seien wegen ihrer möglichen systemischen und lokalen Nebenwirkungen auch bei topischer Anwendung nicht für eine Abgabe ohne Fachberatung durch eine Medizinalperson geeignet (act. 3 = BVGer-act. 1, Beilage 10). Auch in der ursprünglichen Verfügung vom 26. Juli 2019 wird als Hauptargument für eine Umteilung in die Abgabeka- tegorie B genannt, dass diese zwecks Gewährleistung der für die sichere Anwendung erforderlichen Fachberatung zu erfolgen habe (act. 1 = Bei- lage 2 zu BVGer-act. 1). Sodann hielt die Vorinstanz in ihrer Vernehmlas- sung vom 28. November 2019 fest, das Arzneimittel B._______ erfülle mit Ausnahme des Kriteriums nach Art. 42 Bst. f. VAM keines der Kriterien nach Art. 42 VAM, welche eine Umteilung in die Abgabekategorie B gebie- ten würden (vgl. BVGer-act. 8, Rz. 14, S. 15).</w:t>
      </w:r>
    </w:p>
    <w:p>
      <w:r>
        <w:rPr>
          <w:b/>
        </w:rPr>
        <w:t>E. 3.9</w:t>
      </w:r>
    </w:p>
    <w:p>
      <w:r>
        <w:t>Mit Blick auf das Gesagte muss als erstellt gelten, dass die Vorinstanz ihre Verfügung vom 26. Juli 2019 aufgrund eigener besserer Erkenntnisse der für die Umteilung massgeblichen Rechtslage in Wiedererwägung ge- zogen hat. Bei dieser Sachlage ist davon auszugehen, dass der entstan- dene Mehraufwand der Vorinstanz zuzuschreiben ist und nicht der Be- schwerdeführerin auferlegt werden kann. Dies, zumal der durch die Begut- achtung der Stellungnahme der Beschwerdeführerin sowie im Zusammen- hang mit der Wiedererwägungsverfügung entstandene Mehraufwand bei richtiger Kenntnis der Rechtslage im ursprünglichen Verfügungszeitpunkt nicht entstanden wäre.</w:t>
      </w:r>
    </w:p>
    <w:p>
      <w:r>
        <w:t>C-4738/2019 Seite 13</w:t>
      </w:r>
    </w:p>
    <w:p>
      <w:r>
        <w:rPr>
          <w:b/>
        </w:rPr>
        <w:t>E. 3.10</w:t>
      </w:r>
    </w:p>
    <w:p>
      <w:r>
        <w:t>Zusammenfassend ist festzuhalten, dass die Beschwerde insoweit teilweise gutzuheissen ist soweit sie die Kostenauflage der Vorinstanz für den Mehraufwand für die zu begutachtende Stellungnahme von Fr. 1'000.– sowie den Mehraufwand für die Wiedererwägung von Fr. 600.– betrifft. Demgegenüber ist die erhobene Aufwandpauschale von Fr. 300.– nicht zu beanstanden und durch die Beschwerdeführerin zu tragen.</w:t>
      </w:r>
    </w:p>
    <w:p>
      <w:r>
        <w:rPr>
          <w:b/>
        </w:rPr>
        <w:t>E. 4</w:t>
      </w:r>
    </w:p>
    <w:p>
      <w:r>
        <w:t>Es bleibt über die Verfahrenskosten im vorliegenden Gerichtsverfahren und eine allfällige Parteientschädigung zu entscheiden.</w:t>
      </w:r>
    </w:p>
    <w:p>
      <w:r>
        <w:rPr>
          <w:b/>
        </w:rPr>
        <w:t>E. 4.1</w:t>
      </w:r>
    </w:p>
    <w:p>
      <w:r>
        <w:t>Nach Art. 63 Abs. 1 VwVG werden die Verfahrenskosten in der Regel der unterliegenden Partei auferlegt. Keine Verfahrenskosten werden Vor- instanzen auferlegt (Art. 63 Abs. 2 VwVG).</w:t>
      </w:r>
    </w:p>
    <w:p>
      <w:r>
        <w:rPr>
          <w:b/>
        </w:rPr>
        <w:t>E. 4.2</w:t>
      </w:r>
    </w:p>
    <w:p>
      <w:r>
        <w:t>Bei gegenstandslos gewordenen Verfahren werden die Kosten gemäss Art. 5 des Reglements vom 21. Februar 2008 über die Kosten und Ent- schädigungen vor dem Bundesverwaltungsgericht (VGKE, SR 173.320.2) in der Regel jener Partei auferlegt, deren Verhalten die Gegenstandslosig- keit bewirkt hat. Dies ist nach materiellen Kriterien zu beurteilen, d.h. es ist unerheblich, wer die formelle Prozesshandlung vornimmt, die zur Abschrei- bung des Beschwerdeverfahrens führt. Zieht die Vorinstanz ihren Ent- scheid in Wiedererwägung, gilt deshalb die Vorinstanz nur dann als im Sinne von Art. 5 VGKE unterliegend, wenn sie ihren Entscheid aus besse- rer eigener Erkenntnis abgeändert hat und nicht auch dann, wenn sie dies tut, weil die beschwerdeführende Partei den Umstand beseitigt hat, der An- lass zum Einschreiten gegeben hat (MOSER/BEUSCH/KNEUBÜHLER/KAYSER, Prozessieren vor dem Bundesverwaltungsgericht, 3. Aufl. 2022, Rz. 4.56; ASTRID HIRZEL/HANNA MARTI in: Praxiskommentar VwVG, Art. 5 VGKE N. 2; vgl. Urteil des BGer 2C_564/2013 vom 11. Februar 2014 E. 2.4). Ist die Gegenstandslosigkeit im erwähnten Sinn durch eine Partei bewirkt wor- den, so ist es irrelevant, wie die Prozessaussichten vor Eintritt der Gegen- standslosigkeit zu würdigen gewesen wären. Diese Frage stellt sich nach dem klaren Wortlaut von Art. 5 VGKE erst, wenn das Verfahren ohne Zutun der Parteien gegenstandslos geworden ist. Wird die Beschwerde durch Rückzug gegenstandslos, so gilt das Gesagte analog (MOSER/BEUSCH/ KNEUBÜHLER/KAYSER, a.a.O., Rz. 4.56 f.).</w:t>
      </w:r>
    </w:p>
    <w:p>
      <w:r>
        <w:rPr>
          <w:b/>
        </w:rPr>
        <w:t>E. 4.3</w:t>
      </w:r>
    </w:p>
    <w:p>
      <w:r>
        <w:t>Wie bereits dargelegt (vgl. E. 3.9 hiervor), ist vorliegend davon auszu- gehen, dass die Vorinstanz die angefochtene Verfügung aus eigener bes- serer Einsicht aufgehoben und dem Begehren der Beschwerdeführerin</w:t>
      </w:r>
    </w:p>
    <w:p>
      <w:r>
        <w:t>C-4738/2019 Seite 14 pendente lite vollumfänglich entsprochen hat. Damit hat sie die Gegen- standslosigkeit des Beschwerdeverfahrens in den Hauptanträgen materiell bewirkt. Die Beschwerdeführerin unterliegt im Weiteren mit ihrem Antrag auf Aufhebung der Ziffer 5 der vorinstanzlichen Wiedererwägungsverfü- gung vom 18. Juli 2023 und Verzicht auf die Erhebung einer Gebühr ledig- lich betreffend die Aufwandpauschale von Fr. 300.–, obsiegt hingegen be- treffend die in Rechnung gestellten Mehraufwände von Fr. 1'000.– und Fr. 600.–. Bei diesem Verfahrensausgang sind keine Verfahrenskosten zu erheben (Art. 63 Abs. 2 VwVG, Art. 5 und Art. 6 Bst. b VGKE). Der geleis- tete Kostenvorschuss (Fr. 5'000.– [BVGer-act. 4]) ist der Beschwerdefüh- rerin nach Eintritt der Rechtskraft des vorliegenden Entscheids zurückzu- erstatten.</w:t>
      </w:r>
    </w:p>
    <w:p>
      <w:r>
        <w:rPr>
          <w:b/>
        </w:rPr>
        <w:t>E. 4.4</w:t>
      </w:r>
    </w:p>
    <w:p>
      <w:r>
        <w:t>Die Parteientschädigung richtet sich bei gegenstandslos gewordenen Verfahren nach Art. 15 VGKE. Dementsprechend hat diejenige Partei eine Parteientschädigung auszurichten, deren Verhalten die Gegenstandslosig- keit bewirkt hat (Art. 5 Satz 1 VGKE; vgl. Urteil des BVGer C-2825/2020 vom 15. Juli 2021 E. 3.2.1). Bundesbehörden und, in der Regel, andere Behörden, die als Parteien auftreten, haben nach Art. 7 Abs. 3 VGKE kei- nen Anspruch auf Parteientschädigung.</w:t>
      </w:r>
    </w:p>
    <w:p>
      <w:r>
        <w:rPr>
          <w:b/>
        </w:rPr>
        <w:t>E. 4.5</w:t>
      </w:r>
    </w:p>
    <w:p>
      <w:r>
        <w:t>Vorliegend wurde die Gegenstandslosigkeit in den Hauptanträgen durch die Wiedererwägung der Vorinstanz bewirkt und es ist von einem überwiegenden Obsiegen der Beschwerdeführerin betreffend die Gebüh- renauferlegung auszugehen, weshalb der anwaltlich vertretenen Be- schwerdeführerin eine reduzierte Parteientschädigung nach Art. 7 ff. VGKE zu Lasten der Vorinstanz zuzusprechen ist. Mangels Kostennote ist die Entschädigung aufgrund der Akten festzulegen (Art. 14 Abs. 2 VGKE). Un- ter Berücksichtigung des gebotenen und aktenkundigen Aufwandes, der Bedeutung der Streitsache und der Schwierigkeit des vorliegend zu beur- teilenden Verfahrens erscheint eine dem geringfügigen Unterliegen (vgl. E. 4.3 hiervor) entsprechend reduzierte Entschädigung von Fr. 8'000.– (inkl. Auslagen und Mehrwertsteuerzuschlag im Sinne von Art. 9 Abs. 1 Bst. c VGKE) als angemessen.</w:t>
      </w:r>
    </w:p>
    <w:p>
      <w:r>
        <w:t>C-4738/2019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