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C-4735/2019 vom 11. Mai 2020</w:t>
      </w:r>
    </w:p>
    <w:p>
      <w:r>
        <w:t>Bundesverwaltungsgericht, 2020-05-11, DE</w:t>
      </w:r>
    </w:p>
    <w:p>
      <w:r>
        <w:rPr>
          <w:b/>
        </w:rPr>
        <w:t xml:space="preserve">Quelle: </w:t>
      </w:r>
      <w:r>
        <w:t>https://mcp.opencaselaw.ch/entscheid/bvger_C-4735_2019</w:t>
      </w:r>
    </w:p>
    <w:p>
      <w:r>
        <w:t>FR: TAF C-4735/2019 du 11 mai 2020</w:t>
      </w:r>
    </w:p>
    <w:p>
      <w:r>
        <w:t>IT: TAF C-4735/2019 del 11 maggio 2020</w:t>
      </w:r>
    </w:p>
    <w:p>
      <w:pPr>
        <w:pStyle w:val="Heading2"/>
      </w:pPr>
      <w:r>
        <w:t>Regeste</w:t>
      </w:r>
    </w:p>
    <w:p>
      <w:r>
        <w:t>Rentenanspruch</w:t>
      </w:r>
    </w:p>
    <w:p>
      <w:pPr>
        <w:pStyle w:val="Heading2"/>
      </w:pPr>
      <w:r>
        <w:t>Erwägungen</w:t>
      </w:r>
    </w:p>
    <w:p>
      <w:r>
        <w:rPr>
          <w:b/>
        </w:rPr>
        <w:t>E. 1</w:t>
      </w:r>
    </w:p>
    <w:p>
      <w:r>
        <w:t>Die Beschwerde wird insofern gutgeheissen, als dass die angefochtene Verfügung vom 31. Juli 2019 aufgehoben und die Vorinstanz im Sinne der Erwägungen angewiesen wird, die Sache unverzüglich an eine zuständige Behörde zwecks Erlass eines neuen Entscheids zu überweisen.</w:t>
      </w:r>
    </w:p>
    <w:p>
      <w:r>
        <w:rPr>
          <w:b/>
        </w:rPr>
        <w:t>E. 2</w:t>
      </w:r>
    </w:p>
    <w:p>
      <w:r>
        <w:t>Die kantonalen Vorakten gehen an die IVSTA.</w:t>
      </w:r>
    </w:p>
    <w:p>
      <w:r>
        <w:rPr>
          <w:b/>
        </w:rPr>
        <w:t>E. 3</w:t>
      </w:r>
    </w:p>
    <w:p>
      <w:r>
        <w:t>Es werden keine Verfahrenskosten erhoben.</w:t>
      </w:r>
    </w:p>
    <w:p>
      <w:r>
        <w:rPr>
          <w:b/>
        </w:rPr>
        <w:t>E. 4</w:t>
      </w:r>
    </w:p>
    <w:p>
      <w:r>
        <w:t>Dem Beschwerdeführer wird zu Lasten der Vorinstanz eine Parteientschädigung von Fr. 1'000.- zugesprochen.</w:t>
      </w:r>
    </w:p>
    <w:p>
      <w:r>
        <w:rPr>
          <w:b/>
        </w:rPr>
        <w:t>E. 5</w:t>
      </w:r>
    </w:p>
    <w:p>
      <w:r>
        <w:t>Das Gesuch um unentgeltliche Rechtspflege wird als gegenstandslos geworden abgeschrieben.</w:t>
      </w:r>
    </w:p>
    <w:p>
      <w:r>
        <w:rPr>
          <w:b/>
        </w:rPr>
        <w:t>E. 6</w:t>
      </w:r>
    </w:p>
    <w:p>
      <w:r>
        <w:t>Dieses Urteil geht an: - den Beschwerdeführer (Gerichtsurkunde; Beilage: Doppel der Vernehmlassung vom 17. Februar 2020) - die Vorinstanz (Ref-Nr. [...]; Einschreiben; Beilage: Kopie der Vorakten der IV-Stelle C._______ auf CD-Datenträger) - das Bundesamt für Sozialversicherungen (Einschreiben) Für die Rechtsmittelbelehrung wird auf die nächste Seite verwiesen. Der vorsitzende Richter: Die Gerichtsschreiberin: Daniel Stufetti Anna Wildt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