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C-4732/2009 vom 19. Oktober 2010</w:t>
      </w:r>
    </w:p>
    <w:p>
      <w:r>
        <w:t>Bundesverwaltungsgericht, 2010-10-19, FR</w:t>
      </w:r>
    </w:p>
    <w:p>
      <w:r>
        <w:rPr>
          <w:b/>
        </w:rPr>
        <w:t xml:space="preserve">Quelle: </w:t>
      </w:r>
      <w:r>
        <w:t>https://mcp.opencaselaw.ch/entscheid/bvger_C-4732_2009</w:t>
      </w:r>
    </w:p>
    <w:p>
      <w:r>
        <w:t>FR: TAF C-4732/2009 du 19 octobre 2010</w:t>
      </w:r>
    </w:p>
    <w:p>
      <w:r>
        <w:t>IT: TAF C-4732/2009 del 19 ottobre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sont applicables et les dispositions citées ci-après sont celles en vigueur à compter du 1er janvier 2008. En ce qui concerne les faits déterminants, selon la jurisprudence, le Tribunal de céans doit se limiter à examiner la situation de fait existant jusqu'à la date de la décision attaquée (ATF 130 V 445 consid. 1.2).</w:t>
      </w:r>
    </w:p>
    <w:p>
      <w:r>
        <w:rPr>
          <w:b/>
        </w:rPr>
        <w:t>E. 4.1</w:t>
      </w:r>
    </w:p>
    <w:p>
      <w:r>
        <w:t>La décision dont est recours fait suite à une deuxième demande de rente, une précédente demande ayant été rejetée par décision du 28 janvier 2008 entrée en force. En application de l'art. 87 al. 3 et 4 du règlement du 17 janvier 1961 sur l'assurance-invalidité (RAI, RS 831.201), lorsque la rente a été refusée parce que le degré d'invalidité était insuffisant, la nouvelle demande de l'assuré ne peut être examinée que si elle établit de façon plausible que l'invalidité s'est modifiée de manière à influencer ses droits. A défaut d'apporter cette preuve préalable au nouvel examen du droit à la rente, l'affaire est liquidée sans autre examen par une décision de non-entrée en matière sujette à recours devant le tribunal compétent.</w:t>
      </w:r>
    </w:p>
    <w:p>
      <w:r>
        <w:rPr>
          <w:b/>
        </w:rPr>
        <w:t>E. 4.2</w:t>
      </w:r>
    </w:p>
    <w:p>
      <w:r>
        <w:t>Dans l'examen des allégations de l'assuré quant à la péjoration de son état de santé, l'administration doit se montrer d'autant plus exigeante pour apprécier le caractère plausible des allégations de l'assuré que le laps de temps qui s'est écoulé depuis sa décision antérieure est bref. Elle jouit sur ce point d'un certain pouvoir d'appréciation que le juge doit en principe respecter. Le juge doit comparer la situation existante au moment du rejet de la demande de rente avec les circonstances existantes au moment de la décision sur opposition de refus d'entrer en matière sur la nouvelle demande (ATF du 11 mai 2006 cause I 187/05, voir ég. ATF 130 V 349 consid. 3.5). 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ATF du 8 janvier 2007 cause I 597/05). Ces principes, développés par la jurisprudence en relation avec la nouvelle demande de prestations (art. 87 al. 3 et 4 RAI), sont également applicables, par analogie, à la demande de révision (ATF 130 V 73 consid. 3, 109 V 264 consid. 3). En l'espèce l'administration étant entrée en matière sur la deuxième demande de rente déposée par l'intéressée, le Tribunal de céans ne doit se prononcer que sur le bien-fondé de son rejet.</w:t>
      </w:r>
    </w:p>
    <w:p>
      <w:r>
        <w:rPr>
          <w:b/>
        </w:rPr>
        <w:t>E. 5.1</w:t>
      </w:r>
    </w:p>
    <w:p>
      <w:r>
        <w:t>Tout requérant doit remplir cumulativement les conditions suivantes pour avoir droit à une rente de l'assurance-invalidité suisse: être invalide au sens de la LPGA/LAI et avoir versé des cotisations à l'AVS/AI suisse durant une année au moins (art. 36 LAI dans sa teneur en vigueur jusqu'au 31 décembre 2007). A compter du 1er janvier 2008, l'assuré doit toutefois compter au moins trois années de cotisations (art. 36 LAI dans sa nouvelle teneur selon la modification du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w:t>
      </w:r>
    </w:p>
    <w:p>
      <w:r>
        <w:rPr>
          <w:b/>
        </w:rPr>
        <w:t>E. 5.2</w:t>
      </w:r>
    </w:p>
    <w:p>
      <w:r>
        <w:t>En l'occurrence, la recourante a versé des cotisations à l'AVS/AI pendant plus de trois années et remplit, partant, la condition de la durée minimale de cotisations. Il reste dès lors à examiner si elle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Conformément à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 Une incapacité de travail dès 20% doit être prise en compte pour le calcul de l'incapacité de travail moyenne selon l'art. 28 al. 1 let. b LAI (cf. chiffre marginal 2010 de la Circulaire concernant l'invalidité et l'impotence; Jurisprudence et pratique administrative des autorités d'exécution de l'AVS/AI [Pratique VSI] 1998 p. 126 consid. 3c).</w:t>
      </w:r>
    </w:p>
    <w:p>
      <w:r>
        <w:rPr>
          <w:b/>
        </w:rPr>
        <w:t>E. 6.3</w:t>
      </w:r>
    </w:p>
    <w:p>
      <w:r>
        <w:t>Un assuré a droit à un quart de rente s'il est invalide à 40% au moins, à une demi-rente s'il est invalide à 50%, à trois-quarts de rente s'il est invalide à 60% et à une rente entière s'il est invalide à 70% au moins (art. 28 al. 2 LAI). Toutefois, les rentes correspondant à un taux d'invalidité inférieur à 50% ne sont, en application de art. 29 al. 4 LAI, versées qu'aux assurés qui ont leur domicile et leur résidence habituelle en Suisse (cf. l'art. 13 LPGA). Suite à l'entrée en vigueur le 1er juin 2002 de l'ALCP, la restriction prévue à l'art. 29 al. 4 LAI selon laquelle les rentes correspondant à un taux d'invalidité inférieur à 50% ne sont versées qu'aux assurés qui ont leur domicile et leur résidence habituelle en Suisse n'est pas applicable lorsqu'un assuré est un ressortissant suisse ou de l'UE et y réside (ATF 130 V 253 consid. 2.3).</w:t>
      </w:r>
    </w:p>
    <w:p>
      <w:r>
        <w:rPr>
          <w:b/>
        </w:rPr>
        <w:t>E. 6.4</w:t>
      </w:r>
    </w:p>
    <w:p>
      <w:r>
        <w:t>Le droit à la rente prend naissance au plus tôt à l'échéance d'une période de 6 mois à compter de la date à laquelle l'assuré a fait valoir son droit aux prestations (art. 29 al. 1 LAI).</w:t>
      </w:r>
    </w:p>
    <w:p>
      <w:r>
        <w:rPr>
          <w:b/>
        </w:rPr>
        <w:t>E. 6.5</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7</w:t>
      </w:r>
    </w:p>
    <w:p>
      <w:r>
        <w:t>La recourante a travaillé en Suisse puis en Espagne jusqu'à fin juillet 2008 (activité à mi-temps depuis 2006) avant son atteinte à la santé.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 L'invalidité des assurés âgés de 20 ans ou plus qui n'exerçaient pas d'activité lucrative avant d'être atteints dans leur santé physique, mentale ou psychique et dont on ne saurait exiger qu'ils exercent une telle activité est déterminée selon l'art. 8 al. 3 LPGA qui dispose que ces personnes sont réputées invalides si l'atteinte les empêche d'accomplir leurs travaux habituels (art. 28a al. 2 LAI et 27 du règlement du 17 janvier 1961 sur l'assurance-invalidité [RAI, RS 831.201]) telles les tâches domestiques (méthode spécifique). Si l'assuré exerçait une activité à temps partiel il convient de pondérer les deux méthodes (méthode mixte) en fonction du temps alors attribué à l'activité lucrative et aux activités domestiques (art. 28a al. 3 LAI et 27bis RAI). L'invalidité de l'assuré est évaluée selon l'une ou l'autre de ces trois méthodes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ménage, cela à la lumière de sa situation familiale, sociale, et professionnelle. Il est tenu compte, pour le cas où l'assuré serait demeuré valide, d'éléments tels que la situation financière du ménage, l'éducation des enfants, l'âge de l'assuré, ses qualifications professionnelles, sa formation ainsi que ses affinités et talents personnels (ATF 117 V 195 consid. 3b; arrêt du Tribunal fédéral I 276/05 du 24 avril 2006 consid. 2.3).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9</w:t>
      </w:r>
    </w:p>
    <w:p>
      <w:r>
        <w:t>En l'espèce l'intéressée est essentiellement atteinte, selon un RMN dorso-lombaire rapporté par le Dr B._______ en date du 20 avril 2008, de cervicobrachialgie bilatérale, de hernies discales C5-C6 et C6-C7, de lombosciatalgie bilatérale, de hernies discales L4-L5 et L5-S1, de dorsalgie, de hernies discales D7-D8, D9-D10 et D10-D11 mais sans déficit neurologique radiculaire objectif. Ceci est confirmé par le rapport E 213 du 27 août 2008 qui ne mentionne aucune limitation significative de la mobilité de la colonne vertébrale et qui indique clairement la possibilité pour l'intéressée de pouvoir exercer sans restriction sa dernière activité dans le nettoyage. Il n'appert pas de l'expertise E 213 une aggravation de l'état de santé de la recourante par rapport à l'expertise E 213 établie le 11 janvier 2007 dans le cadre de sa première demande de rente. Le syndrome du tunnel carpien relevé affecte certes l'intéressée, mais cette atteinte à la santé est mineure et peut faire l'objet d'une intervention chirurgicale bénigne. Aucun document médical au dossier ne permet d'envisager que cette atteinte soit conséquente. Il s'ensuit de ce qui précède que le service médical de l'OAIE était fondé à ne pas accorder de valeur déterminante au questionnaire à l'assurée en relation avec les tâches domestiques car les réponses de celui-ci sont inconciliables avec le rapport E 213 de la Sécurité sociale espagnole qui dénie toute limitation de l'intéressée dans sa dernière activité. C'est donc à raison que le médecin de l'OAIE et l'OAIE n'ont retenu aucune incapacité déterminante au sens de l'assurance-invalidité à l'intéressée qui n'a pas en l'espèce démontré une incapacité de travail d'au moins 40% sur une année, même si son activité doit éviter de charger sa colonne vertébrale. De ce fait elle ne peut prétendre à une rente d'invalidité suisse. Comme l'activité exercée antérieurement est toujours exigible sans limitation, une évaluation en pour-cent de l'invalidité ne se justifie pas. Manifestement mal fondé, le recours doit ainsi être rejeté.</w:t>
      </w:r>
    </w:p>
    <w:p>
      <w:r>
        <w:rPr>
          <w:b/>
        </w:rPr>
        <w:t>E. 10</w:t>
      </w:r>
    </w:p>
    <w:p>
      <w:r>
        <w:t>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11</w:t>
      </w:r>
    </w:p>
    <w:p>
      <w:r>
        <w:t>Au vu de ce qui précède, il appert que le recours est manifestement infondé. Il convient donc de statuer sur le présent litige dans une procédure à juge unique en application des art. 69 al. 2 LAI et 85bis al. 3 de la loi fédérale du 20 décembre 1946 sur l'assurance-vieillesse et survivants (LAVS, RS 831.10) en relation avec l'art. 23 al. 2 LTAF.</w:t>
      </w:r>
    </w:p>
    <w:p>
      <w:r>
        <w:rPr>
          <w:b/>
        </w:rPr>
        <w:t>E. 12.1</w:t>
      </w:r>
    </w:p>
    <w:p>
      <w:r>
        <w:t>Vu l'issue de la cause, les frais de procédure, fixés à Fr. 300.-, sont mis à la charge de la recourante (art. 63 al. 1 PA en relation avec l'art. 37 LTAF). Ce montant est compensé par l'avance de frais fournie de Fr. 300.-.</w:t>
      </w:r>
    </w:p>
    <w:p>
      <w:r>
        <w:rPr>
          <w:b/>
        </w:rPr>
        <w:t>E. 12.2</w:t>
      </w:r>
    </w:p>
    <w:p>
      <w:r>
        <w:t>Il n'est pas alloué de dépens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