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C-472/2012 vom 20. Februar 2013</w:t>
      </w:r>
    </w:p>
    <w:p>
      <w:r>
        <w:t>Bundesverwaltungsgericht, 2013-02-20, DE</w:t>
      </w:r>
    </w:p>
    <w:p>
      <w:r>
        <w:rPr>
          <w:b/>
        </w:rPr>
        <w:t xml:space="preserve">Quelle: </w:t>
      </w:r>
      <w:r>
        <w:t>https://mcp.opencaselaw.ch/entscheid/bvger_C-472_2012</w:t>
      </w:r>
    </w:p>
    <w:p>
      <w:r>
        <w:t>FR: TAF C-472/2012 du 20 février 2013</w:t>
      </w:r>
    </w:p>
    <w:p>
      <w:r>
        <w:t>IT: TAF C-472/2012 del 20 febbraio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Der Beschwerdeführer ist Staatsangehöriger von Kosovo und mit einer in der Slowakei niedergelassenen slowakischen Staatsangehörigen verheiratet. Er ist folglich der Ehegatte bzw. ein Familienangehöriger einer Staats­angehörigen eines Mitgliedstaates der Europäischen Gemeinschaft (EG) (vgl. Art. 3 Abs. 1 f. Anhang I des Abkommens vom 21. Juni 1999 zwischen der Schweizerischen Eidgenossenschaft einerseits und der Europäischen Gemeinschaft und ihren Mitgliedstaaten andererseits über die Freizügigkeit [FZA, SR 0.142.112.681]). Nach Art. 2 Abs. 2 des Ausländergesetzes vom 16. Dezember 2005 (AuG, SR 142.20) gelangt dieses Gesetz für Staats­angehörige der Mitgliedstaaten der EG und ihre Familienangehörigen nur soweit zur Anwendung, als das Freizügigkeitsabkommen keine abweichende Regelung kennt oder die ordent­liche Ausländergesetzgebung ihnen eine vorteilhaftere Rechtsstellung vermittelt (vgl. Urteile des Bundesverwaltungsgerichts C 2196/2008 vom 17. März 2011 E. 4 und C 2482/2009 vom 28. Januar 2011 E. 5.1 mit Hinweis).</w:t>
      </w:r>
    </w:p>
    <w:p>
      <w:r>
        <w:rPr>
          <w:b/>
        </w:rPr>
        <w:t>E. 4.1</w:t>
      </w:r>
    </w:p>
    <w:p>
      <w:r>
        <w:t>Landesrechtliche Grundlage der angefochtenen Verfügung bildet Art. 67 AuG. Nach Art. 67 Abs. 2 AuG kann das BFM gegen ausländische Personen, die gegen die öffentliche Sicherheit und Ordnung in der Schweiz oder im Ausland verstossen haben oder diese gefährden (Bst. a), Sozial­hilfekosten verursacht haben (Bst. b) oder in Vorbereitungs-, Ausschaffungs- oder Durchsetzungshaft ge­nommen worden sind (Bst. c), ein Einreiseverbot verfügen. Eine Fernhaltemassnahme wird für eine Dauer von höchstens fünf Jahren verhängt, kann aber für eine längere Dauer angeordnet werden, wenn von der betroffenen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4.3</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weshalb gestützt auf die gesamten Umstände des Einzelfalls eine entsprechende Prognose zu fällen ist. Ein vergangenes deliktisches Verhalten ist sodann geeignet, einen Hinweis auf eine Gefährdung in der Zukunft zu liefern. Aus diesem Grund verknüpft Art. 67 Abs. 2 Bst. a AuG die Verhängung einer solchen Massnahme unter anderem mit einem (bereits erfolgten) Verstoss gegen die fraglichen Polizeigüter (vgl. zum Ganzen das Urteil des Bundesverwaltungsgerichts C 820/2009 vom 9. März 2011 E. 5.2 mit Hinweisen).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Dies gilt auch für die mutwillige Nichterfüllung öffentlich- oder privatrechtlicher Verpflichtungen (Bst. b). In einem Verfahren betreffend Bewilligungswiderruf hat das Bundesgericht in grundlegender Weise eine ausgefällte Freiheitsstrafe von mehr als einem Jahr als eine - einen Widerrufsgrund nach Art. 62 Bst. b erster Satzteil AuG darstellende - "längerfristige Freiheitsstrafe" qualifiziert (vgl. BGE 135 II 377 E. 4.2 S. 379 ff.). A fortiori kann im Zusammenhang mit der Verhängung einer Fernhaltemassnahme an diese Rechtsprechung angeknüpft bzw. eine solche Freiheitsstrafe im Rahmen der zu stellenden Prognose gewürdigt werden.</w:t>
      </w:r>
    </w:p>
    <w:p>
      <w:r>
        <w:rPr>
          <w:b/>
        </w:rPr>
        <w:t>E. 4.4</w:t>
      </w:r>
    </w:p>
    <w:p>
      <w:r>
        <w:t>Das FZA vermittelt Vertragsausländern eine Reihe von Freizü­gig­keits­rechten, unter anderem das Recht auf Einreise (Art. 3 FZA i.V.m. Art. 1 Abs. 1 Anhang I FZA). Ein entsprechendes, abgeleitetes Recht steht auch Familienangehörigen von EU-Bürgerinnen und -Bürgern mit Drittstaatsangehörigkeit zu (vgl. Art. 1 Abs. 1 und Art. 3 Abs. 1 f. Anhang I FZA). Die Zulässigkeit nationaler Massnah­men, die - wie das Einreiseverbot nach Art. 67 AuG - die Ausübung eines Freizügigkeitsrechts behindern, macht das FZA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5</w:t>
      </w:r>
    </w:p>
    <w:p>
      <w:r>
        <w:t>In einem ersten Schritt ist somit zu prüfen, ob die Anordnung des Einreiseverbots im Lichte des nationalen Rechts rechtmässig ist.</w:t>
      </w:r>
    </w:p>
    <w:p>
      <w:r>
        <w:rPr>
          <w:b/>
        </w:rPr>
        <w:t>E. 5.1</w:t>
      </w:r>
    </w:p>
    <w:p>
      <w:r>
        <w:t>Seit Mitte 2001 ist der Beschwerdeführer wiederholt und in regelmässigen Abständen straffällig geworden. Dabei handelte es sich zunächst vorwiegend um diverse Verstösse gegen die Verkehrsordnung sowie um Ungehorsam im Betreibungs- und Konkursverfahren. Bereits für sich genommen als erheblicher Verstoss gegen die öffentliche Sicherheit und Ordnung zu werten ist sodann die Verurteilung vom 25. Juni 2007 zu einer Freiheitsstrafe von vier Jahren, welche primär den vom Beschwerdeführer verübten Gewalt- und Sexualdelikten Rechnung trägt. Selbst wenn sich die übrigen Verurteilungen auf keine besonders schwerwiegenden strafrechtliche Vorkommnisse beziehen, zeigt das delinquente Verhalten des Beschwerdeführers insgesamt eine Unbelehrbarkeit bzw. eine offenkundig fehlende Bereitschaft seinerseits, sich an die hierzulande geltende Rechtsordnung zu halten. Hinzu kommt, dass er mit der besonders einschlägigen jüngsten - und mit Abstand schwerwiegendsten - Verurteilung vom 25. Juni 2007 ein hohes Mass an Respekt- und Skrupellosigkeit gegenüber der körperlichen und seelischen Integrität anderer Menschen gezeigt hat. Entsprechend wurde er zu einer vierjährigen Freiheitsstrafe verurteilt. Diese Sanktion erfüllt zweifellos die von der Rechtsprechung definierten Voraussetzungen an eine "längerfristige Freiheitsstrafe". Erschwerend kommt hinzu, dass im Rahmen der letzten Verurteilung Verhaltensweisen geahndet werden, welche zur Gefährdung bzw. Verletzung besonders hochrangiger Rechtsgüter geführt haben. Aus präventivpolizeilicher Sicht rechtfertigt dies einen besonders strengen Beurteilungsmassstab BGE 125 II 521 E. 4a/aa, wonach unter anderem nur ein geringes Risiko des Rückfalls einer - wie vorliegend - einschlägig vorbestraften Person in Kauf zu nehmen ist. Der Beschwerdeführer hat sich wiederholt und regelmässig, sowie in schwerem Masse in einem besonders sensiblen Bereich strafbar gemacht.</w:t>
      </w:r>
    </w:p>
    <w:p>
      <w:r>
        <w:rPr>
          <w:b/>
        </w:rPr>
        <w:t>E. 5.2</w:t>
      </w:r>
    </w:p>
    <w:p>
      <w:r>
        <w:t>Hinzu kommt, dass der während der Dauer seiner Anwesenheit in der Schweiz lediglich sporadisch erwerbstätige Beschwerdeführer in erheblichem Ausmass seine finanziellen Verpflichtungen missachtet hat. Der Betreibungsregisterauszug weist im Zeitraum von 1998 bis 2011 Betreibungen im Betrage von Fr. 102'429.75 sowie 42 offene Verlustscheine in der Gesamthöhe von Fr. 96'212.30 auf.</w:t>
      </w:r>
    </w:p>
    <w:p>
      <w:r>
        <w:rPr>
          <w:b/>
        </w:rPr>
        <w:t>E. 5.3</w:t>
      </w:r>
    </w:p>
    <w:p>
      <w:r>
        <w:t>Mit den dargelegten strafbaren Handlungen sowie der sich über Jahre hinziehenden Schuldenwirtschaft hat der Beschwerdeführer Fernhaltegründe nach Art. 67 Abs. 2 Bst. a AuG gesetzt. Die Voraussetzungen für die Verhängung eines Einreiseverbotes nach dieser Bestimmung erweisen sich demnach ohne weiteres als erfüllt.</w:t>
      </w:r>
    </w:p>
    <w:p>
      <w:r>
        <w:rPr>
          <w:b/>
        </w:rPr>
        <w:t>E. 6</w:t>
      </w:r>
    </w:p>
    <w:p>
      <w:r>
        <w:t>In einem weiteren Schritt ist zu prüfen, ob das Einreiseverbot vor dem Freizügigkeitsabkommen standhält bzw. ob die Tatbestandsvoraussetzungen eines Einreiseverbots auch nach Massgabe des FZA erfüllt sind.</w:t>
      </w:r>
    </w:p>
    <w:p>
      <w:r>
        <w:rPr>
          <w:b/>
        </w:rPr>
        <w:t>E. 6.1</w:t>
      </w:r>
    </w:p>
    <w:p>
      <w:r>
        <w:t>Der EuGH hat in seiner Rechtsprechung regelmässig betont, Ausnahmen vom freien Personenverkehr seien restriktiv auszulegen. Die Berufung einer nationalen Behörde auf den Begriff der öffentlichen Ordnung, wenn er Beschränkungen der Freizügigkeitsrechte rechtfertigen soll, setzt voraus, dass ausser der Störung der öffentlichen Ordnung, wie sie jede Gesetzesverletzung darstellt, eine tatsächliche und hinreichend schwere Gefährdung vorliegt, die ein Grundinteresse der Gesellschaft berührt (BGE 136 II 5 E. 4.2 S. 20, BGE 131 II 352 E. 3.2 S. 357 f., BGE 130 II 493 E. 3.2 S. 498 f., BGE 130 II 176 E. 3.4.1 S. 182 ff., BGE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(BGE 131 II 352 E. 3.2 S. 357 f., BGE 130 II 493 E. 3.2 S. 498 f., BGE 130 II 176 E. 3.4.1 S. 182 ff.; erwähnte Urteile des EuGH in Sachen Bouchereau, Randnr. 27-29, und Calfa, Randnr. 24). 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BGE 131 II 352 E. 3.3 S. 358, BGE 130 II 493 E. 3.3 S. 499 f., BGE 130 II 176 E. 4.3.1 S. 185 f. sowie zum Ganzen auch erwähntes Urteil des Bundesverwaltungsgerichts C 2482/2009 E. 7.1). 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sowie zum Ganzen auch erwähntes Urteil des Bundesverwaltungsgerichts C 2196/2008 E. 8).</w:t>
      </w:r>
    </w:p>
    <w:p>
      <w:r>
        <w:rPr>
          <w:b/>
        </w:rPr>
        <w:t>E. 6.2</w:t>
      </w:r>
    </w:p>
    <w:p>
      <w:r>
        <w:t>Während der Dauer seiner Anwesenheit in der Schweiz ist der Beschwerdeführer - wie bereits dargelegt - in regelmässigen Abständen straffällig geworden, wobei die Verurteilung vom 25. Juni 2007 wegen mehrfacher Vergewaltigung, Schändung, mehrfachen Tätlichkeiten, Sachbeschädigung, mehrfacher Drohung, und weiterer Delikte besonders schwer wiegt und im Vordergrund steht. Er wurde deswegen zu einer Freiheitsstrafe von vier Jahren verurteilt. Das Verschulden wurde als sehr schwer qualifiziert. Er habe sich innert weniger Monate eine lange Reihe deliktischer Übergriffe gegen das Opfer zu Schulden kommen lassen. Damit sei ein intensiver deliktischer Wille zu Tage getreten. Sodann habe der Beschwerdeführer weder Einsicht noch Reue gezeigt, sei vorbestraft und habe nach seiner Entlassung aus der Untersuchungshaft weiter delinquiert. Negativ ins Gewicht fallen vorliegend zunächst insbesondere die Kontinuität des regelwidrigen Verhaltens sowie die im Rahmen seiner letzten Verurteilung betroffenen hochrangigen Rechtsgüter. Der Beschwerdeführer hat auf diese Weise nicht nur eine Geringschätzung gegenüber der Integrität anderer Menschen gezeigt, sondern auch ein besonderes Mass an Skrupellosigkeit an den Tag gelegt. So konnte ihn selbst die Unsicherheit hinsichtlich seines Aufenthaltsstatus nicht zum Wohlverhalten bzw. zur Einhaltung der Rechtsordnung bewegen. Nicht nur vermochten ihn die bisherigen Verurteilungen nicht von der Begehung einer weiteren Straftat abzuhalten; vielmehr zeigt sich am jüngsten strafrechtlichen Vorkommnis eine massive Steigerung in der Intensität des deliktischen Verhaltens bzw. der an den Tag gelegten kriminellen Energie. Offenkundig ist der Beschwerdeführer zunehmend bereit, auch höchste Rechtsgüter zu verletzten. Aufgrund dieses Umstands, seiner Vorgeschichte bzw. seines offenkundigen Verhaltensmusters und in Anbetracht dessen, dass sich seine finanzielle Lage nach wie vor als prekär erweisen dürfte, ist von einer tatsächlichen, erheblichen sowie namentlich auch gegenwärtigen Gefährdung der öffentlichen Sicherheit und Ordnung auszugehen - woran insbesondere seine Beteuerungen, der Strafvollzug habe resozialisierende Wirkung auf ihn gehabt, nichts zu ändern vermögen. In Anbe-tracht seiner bisherigen Unbelehrbarkeit erscheint das Rückfallrisiko vielmehr als erheblich; angesichts der jüngsten Ereignisse kann sogar die Gefahr, dass er allenfalls in noch gravierenderem Ausmass bzw. gegebenenfalls unter Gefährdung bzw. Verletzung von Leib und Leben Betroffener delinquieren könnte, keineswegs als gebannt betrachtet werden. In Bezug auf die Prognosen gilt es sodann klarzustellen, dass für die Be­rechnung der Dauer des klaglosen Verhaltens nicht auf den Be­gehungs- oder Urteilszeitpunkt abzustellen ist. Von vorrangiger Be­deutung ist stattdessen, wie lange sich eine straffällig gewordene Person nach ihrer Entlassung aus der Haft in Freiheit bewährt hat (vgl. BVGE 2008/24 E. 6.2). In diesem Zusammenhang ist festzuhalten, dass der Beschwerdeführer die zuletzt gegen ihn ausgefällte Freiheitsstrafe von vier Jahren im Januar 2012 zu zweidritteln verbüsst hat und die Bewährungszeit für die vorzeitige Entlassung aus dem Strafvollzug am 23. Januar 2012 486 Tage betrug. Die seit der Haftentlassung vergangene Zeit von 12 Monaten ist indessen zu kurz, als dass dies an der derzeitigen Prognose etwas zu ändern vermag. Zu keinem anderen Ergebnis führt die Beurteilung im Rahmen des FZA.</w:t>
      </w:r>
    </w:p>
    <w:p>
      <w:r>
        <w:rPr>
          <w:b/>
        </w:rPr>
        <w:t>E. 7</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7.1</w:t>
      </w:r>
    </w:p>
    <w:p>
      <w:r>
        <w:t>Vor dem Hintergrund der vorstehenden Ausführungen besteht an der Fernhaltung als solche klarerweise ein erhebliches öffentliches Interesse. Insbesondere angesichts der regelmässigen Delinquenz sowie der Umstände der letzten Verurteilung bzw. der jüngsten Straftat zeigt sich zudem, dass vom Beschwerdeführer eine schwerwiegende Gefahr für die öffentliche Sicherheit und Ordnung ausgeht, was die Verhängung einer Fernhaltemassnahme von einer fünf Jahre überschreitenden Dauer zulässt (vgl. Art. 67 Abs. 3 AuG). Der bereits mehrfach verurteilte Beschwerdeführer legte anlässlich seiner jüngsten und schwersten Tat eine kriminelle Energie beträchtlichen Ausmasses an den Tag; die Schwere seines deliktischen Verhaltens und seines Verschuldens erweist sich als erheblich. Seinem Handeln lagen vorwiegend egoistische Beweggründe zugrunde, indem er durch Ausübung von Macht und Kontrolle die körperliche und seelische Integrität seines Opfers wiederholt massiv verletzte. Das von ihm ausgehende Gefährdungspotenzial sowie die Rückfallgefahr erscheinen damit erheblich.</w:t>
      </w:r>
    </w:p>
    <w:p>
      <w:r>
        <w:rPr>
          <w:b/>
        </w:rPr>
        <w:t>E. 7.2</w:t>
      </w:r>
    </w:p>
    <w:p>
      <w:r>
        <w:t>Der Beschwerdeführer macht zunächst geltend, seine Schwester, zu welcher er eine sehr enge Beziehung habe, lebe mit ihrer Familie in der Schweiz. Allfällige Einschränkungen des Privat- bzw. Familienlebens des Beschwerdeführers können im vorliegenden Zusammenhang aufgrund sachlicher und funktioneller Unzuständigkeit des Bundesverwaltungsgerichts nicht Verfahrensgegenstand sein, soweit sie auf das Fehlen eines dauerhaften Aufenthaltsrechts in der Schweiz zurückzuführen sind (vgl. das Urteil des Bundesverwaltungsgerichts C 4509/2009 vom 7. Januar 2010 E. 7.3). Die Erteilung von Aufenthaltsbewilligungen fällt grundsätzlich in die Zuständigkeit der Kantone, wobei im Falle einer Bewilligungserteilung auch das bestehende Einreiseverbot aufzuheben wäre (vgl. Urteil des Bundesgerichts 2C_793/2008 vom 27. März 2009 E. 3.2 mit Hinweisen). Dem Beschwerdeführer wurde die Niederlassungsbewilligung durch die zuständige kantonale Behörde rechtskräftig verweigert. Somit dürfte er sich derzeit ohnehin nur zu Besuchszwecken in der Schweiz auf­halten. Hinzuweisen wäre überdies auf die Möglichkeit der Suspension der angeordneten Fernhaltemassnahme (Art. 67 Abs. 5 AuG). Sodann gilt festzuhalten, dass die vorliegenden Umstände auch nicht den Schutzbereich von Art. 8 der Konvention vom 4. November 1950 zum Schutze der Menschenrechte und Grundfreiheiten (EMRK ; SR 0.101) tangieren, zumal dieser ausserhalb der Kernfamilie ein besonderes Abhängigkeitsverhältnis zwischen den Personen bedingt (vgl. Urteil des Bundesgerichts 2C_451/2007 E. 2.2 mit Hinweisen), was vorliegend nicht zutrifft. Unter den aktuellen Begebenheiten wird der Beschwerdeführer durch das Einreiseverbot in Bezug auf die Schweiz und Liechtenstein in seiner Lebensführung demzufolge nicht übermässig beeinträchtigt.</w:t>
      </w:r>
    </w:p>
    <w:p>
      <w:r>
        <w:rPr>
          <w:b/>
        </w:rPr>
        <w:t>E. 7.3</w:t>
      </w:r>
    </w:p>
    <w:p>
      <w:r>
        <w:t>An persönlichen Interessen macht der Beschwerdeführer weiter geltend, das Einreiseverbot verunmögliche ihm wegen der Ausschreibung im SIS das eheliche und familiäre Zusammenleben in der Slowakei. Auch hierbei steht die Frage im Vordergrund, ob die verfügte Fernhaltemassnahme, insbesondere in Bezug auf ihre räumliche Geltung verhältnismässig erscheint. Zunächst gilt unter Hinweis auf die Rechtsprechung des EuGH (vgl. Urteil des EuGH C-503/03 vom 31. Januar 2006) festzuhalten, dass eine SIS-Ausschreibung bei Vorliegen der entsprechenden gesetzlichen Voraussetzungen unabhängig davon vorzunehmen ist, ob der betreffende Drittausländer mit einem Freizügigkeitsberechtigten verheiratet ist. Hingegen hat ein solcher, als Familienangehöriger eines Unionsbürgers einen abgeleiteten gemeinschaftsrechtlichen Anspruch auf Freizügigkeit. Da dieses Recht jedoch kein unbedingtes ist, kann es - wie im vorliegenden Fall - aus Gründen der öffentlichen Ordnung oder der öffentlichen Sicherheit verwehrt werden. Abweichungen vom Prinzip der Freizügigkeit sind jedoch eng auszulegen, deren Tragweite kann sodann nicht einseitig von den Mitgliedstaaten bestimmt werden; jeder Zielstaat muss selbständig Abklärungen vornehmen und kann nicht lediglich auf den bestehenden SIS-Eintrag abstellen. Die Berechtigung des Beschwerdeführers zur Einreise in jedes weitere Land im Schengenraum ist damit jeweils vom Zielstaat materiell zu prüfen und entsprechend zu beurteilen. Daraus folgt, dass eine Abwägung der spezifischen Interessen des Beschwerdeführers an der ungehinderten Einreise in die Slowakei sowie jedem anderen Schengenstaat vom betroffenen Land selbständig zu beurteilen ist. Er ist damit gehalten, sein Interesse am Familienleben sowie mögliche Verletzungen seines diesbezüglichen Anspruchs direkt bei der slowakischen Behörde geltend zu machen. Eine Löschung der Einreiseverweigerung im SIS kann sodann lediglich im Rahmen des Konsultationsverfahrens erfolgen. Der ausschreibende Vertragsstaat ist nämlich nach Art. 25 SDÜ grundsätzlich verpflichtet, die Einreiseverweigerung gegenüber dem Drittstaatangehörigen im SIS wieder zu löschen, wenn ein anderes Schengenland dem Drittstaatangehörigen eine Aufenthaltserlaubnis erteilt oder zusichert. Sollte der Beschwerdeführer in der Slowakei einen Aufenthaltstitel erlangen, wird der SIS Eintrag zu löschen sein. Damit erfüllt auch die räumliche Geltung des Einreiseverbots die Anforderungen an die Verhältnismässigkeit. Ob in diesem in erster Linie administrativen Erschwernis überhaupt ein rechtfertigungsbedürftiger Eingriff in das Familienleben begründet ist, kann offen bleiben. Denn selbst wenn von einem unter dem Gesichtspunkt von Art. 13 Abs. 1 BV und Art. 8 EMRK relevanten Eingriff ausgegangen würde, wäre ein solcher unter den konkreten Gegebenheiten gestützt auf Art. 8 Ziff. 2 EMRK als gerechtfertigt zu betrachten. Bei der in diesem Rahmen vorzunehmenden Interessenabwägung werden explizit ordnungs- und sicherheitspolizeiliche Interessen vorbehalten (vgl. BGE 135 I 143 E. 4 insb. E. 4.1 in fine und 4.4 S. 150 ff., BGE 135 I 153 E. 2.2.4 S. 158 sowie BGE 136 I 285 E. 5.3 S. 289, allesamt das Anwesenheitsrecht betreffende Verfahren). Zweifellos ist das Verhalten des Beschwerdeführers auch in diesem Rahmen als derart schwerwiegend zu qualifizieren, dass das öffentliche Interesse an seiner Fernhaltung bzw. an der Verhinderung ungehinderter Einreisen seine privaten Interessen überwiegen.</w:t>
      </w:r>
    </w:p>
    <w:p>
      <w:r>
        <w:rPr>
          <w:b/>
        </w:rPr>
        <w:t>E. 7.4</w:t>
      </w:r>
    </w:p>
    <w:p>
      <w:r>
        <w:t>Bei dieser Sachlage gelangt das Bundesverwaltungsgericht zum Schluss, dass die erheblichen öffentlichen Interessen gegenüber den Interessen des Beschwerdeführers an der Durchsetzung seiner abgeleiteten Freizügigkeitsrechte überwiegen. Das verhängte Einreiseverbot stellt somit sowohl im Grundsatz als auch (insbesondere in Anbetracht der Regelmässigkeit und der zunehmenden Intensität der Delinquenz und namentlich aufgrund der kriminellen Energie und des schweren Verschuldens im Zusammenhang mit der letzten verübten Straftat) in Bezug auf seine Dauer sowie auf seine räumliche Geltung eine unter Berücksichtigung der gängigen Praxis in vergleichbaren Fällen verhältnismässige und angemessene Massnahme zum Schutz der öffentlichen Ordnung und Sicherheit dar.</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(vgl. Art. 63 Abs. 1 Satz 1 VwVG in Verbindung mit Art. 1, Art. 2 und Art. 3 Bst. b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