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C-4716/2011 vom 4. Juni 2013</w:t>
      </w:r>
    </w:p>
    <w:p>
      <w:r>
        <w:t>Bundesverwaltungsgericht, 2013-06-04, FR</w:t>
      </w:r>
    </w:p>
    <w:p>
      <w:r>
        <w:rPr>
          <w:b/>
        </w:rPr>
        <w:t xml:space="preserve">Quelle: </w:t>
      </w:r>
      <w:r>
        <w:t>https://mcp.opencaselaw.ch/entscheid/bvger_C-4716_2011</w:t>
      </w:r>
    </w:p>
    <w:p>
      <w:r>
        <w:t>FR: TAF C-4716/2011 du 4 juin 2013</w:t>
      </w:r>
    </w:p>
    <w:p>
      <w:r>
        <w:t>IT: TAF C-4716/2011 del 4 giugno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statique au droit européen (art. 8 et 20 ALCP; voir également art. 80a LAI). Ainsi, conformément à l'art. 3 al. 1 du règlement (CEE) n° 1408/71 du Conseil du 14 juin 1971 (RO 2004 121), également applicable, tout comme le règlement (CEE) n° 574/72 du 21 mars 1972 du Conseil relatif à l'application du règlement (CEE) n° 1408/71 (RO 2005 3909),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Dans la mesure où l'ALCP, en particulier son annexe II, ne prévoit pas de disposition contraire, l'organisation de la procédure de même que l'examen des conditions à l'octroi d'une rente d'invalidité suisse ressortissent au droit interne suisse.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2.2</w:t>
      </w:r>
    </w:p>
    <w:p>
      <w:r>
        <w:t>Quant au droit applicable au fond, il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Il s'ensuit que le droit à une rente de l'assurance-invalidité doit être examiné en l'espèce au regard de la LAI et de son ordonnance d'exécution dans leur teneur en vigueur jusqu'au 31 décembre 2011 (modifications introduites par la novelle du 6 octobre 2006 [5e révision], entrées en vigueur le 1er janvier 2008 [RO 2007 5129]), les dispositions de la 6e révision (premier volet) en vigueur depuis le 1er janvier 2012 (RO 2011 5659; FF 2010 1647) n'étant pas applicables.</w:t>
      </w:r>
    </w:p>
    <w:p>
      <w:r>
        <w:rPr>
          <w:b/>
        </w:rPr>
        <w:t>E. 3</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En l'espèce, la recourante a versé des cotisations à l'AVS/AI pendant plus de trois ans au total (OAIE pce 8) et remplit donc la condition de la durée minimale de cotisations. Il reste donc à examiner si elle est 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Ainsi le taux d'invalidité d'une personne exerçant une activité lucrative est fixé d'après la comparaison des revenus prévue par l'art. 16 LPGA (méthode générale).</w:t>
      </w:r>
    </w:p>
    <w:p>
      <w:r>
        <w:rPr>
          <w:b/>
        </w:rPr>
        <w:t>E. 4.2</w:t>
      </w:r>
    </w:p>
    <w:p>
      <w:r>
        <w:t>Selon l'art. 8 al. 3 LPGA et 5 al. 1 LAI, les assurés majeurs qui n'exerçaient pas d'activité lucrative avant d'être atteints dans leur santé physique, mentale ou psychique, telles les personnes s'occupant du ménage, et dont il ne peut être exigé qu'ils en exercent une, sont réputés invalides si l'atteinte les empêche d'accomplir leurs travaux habituels, telles les tâches domestiques (méthode spécifique; art. 28a al. 2 LAI, art. 27 du règlement du 17 janvier 1961 sur l'assurance-invalidité [RAI, RS 831.201]).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 Conformément à la jurisprudence, une enquête ménagère effectuée au domicile de l'assuré constitue en règle générale une base appropriée et suffisante pour évaluer les empêchements dans l'accomplissement des travaux habituels en raison d'une atteinte à la santé (arrêt du Tribunal fédéral I 733/06 du 16 juillet 2007 consid. 4.2.1 et les références).</w:t>
      </w:r>
    </w:p>
    <w:p>
      <w:r>
        <w:rPr>
          <w:b/>
        </w:rPr>
        <w:t>E. 4.3</w:t>
      </w:r>
    </w:p>
    <w:p>
      <w:r>
        <w:t>Si l'assuré exerçait une activité lucrative à temps partiel ou une activité sans être rémunéré dans l'entreprise du conjoint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Le taux d'invalidité est calculé d'après le handicap dont la personne est affectée dans les deux domaines d'activité.</w:t>
      </w:r>
    </w:p>
    <w:p>
      <w:r>
        <w:rPr>
          <w:b/>
        </w:rPr>
        <w:t>E. 4.4</w:t>
      </w:r>
    </w:p>
    <w:p>
      <w:r>
        <w:t>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 respectivement une incapacité à accomplir les travaux habituels pour les assurés n'exerçant pas d'activité lucrative et dont on ne peut exiger qu'ils le fassent.</w:t>
      </w:r>
    </w:p>
    <w:p>
      <w:r>
        <w:rPr>
          <w:b/>
        </w:rPr>
        <w:t>E. 4.5</w:t>
      </w:r>
    </w:p>
    <w:p>
      <w:r>
        <w:t>Le choix de la méthode d'évaluation de l'invalidité (art. 28a LAI)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cela à la lumière de sa situation personnelle, familiale, sociale et professionnelle (art. 27bis RAI; ATF 117 V 195 consid. 3b, arrêts du Tribunal fédéral I 930/05 du 15 décembre 2006 consid. 3.1 et I 603/04 du 5 septembre 2005 consid. 3).</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6</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7</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S'agissant de la valeur probante du rapport d'enquête ménagère effectuée au domicile de l'assuré travaillant dans le ménage, il y a lieu de relever qu'en règle générale, une telle enquête n'est pas réalisée auprès des assurés résidant à l'étranger. Néanmoins, l'appréciation de l'incapacité de l'assuré dans l'accomplissement des travaux habituels doit, dans la mesure du possible, se fonder sur des principes analogues (arrêt du Tribunal fédéral I 733/06 du 16 juillet 2007 consid. 4.2.1 et les références; Pratique VSI 3/2001 p. 155 consid. 3c).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Ce document ne peut donc, à lui seul, justifier que l'on s'écarte des conclusions retenues par les médecins-conseils de l'Office AI (arrêt du Tribunal fédéral I 407/03 du 15 septembre 2003 consid. 4.3).</w:t>
      </w:r>
    </w:p>
    <w:p>
      <w:r>
        <w:rPr>
          <w:b/>
        </w:rPr>
        <w:t>E. 8</w:t>
      </w:r>
    </w:p>
    <w:p>
      <w:r>
        <w:t>En l'espèce, il est admis tant par les médecins traitants de la recourante et par la Direction de la santé et des services sociaux de X. que par la Dresse F._______, médecin-conseil de l'Institut national de sécurité sociale (INSS) espagnol, dans le rapport E 213, et par le médecin du service médical de l'OAIE, que la recourante souffre principalement d'un syndrome cervical et lombo-vertébral avec des altérations dégénératives (arthrose, hernie discale) et des périodes d'exacerbations, et de gonalgie; il est aussi fait état de diabète, d'hyperlipidémie, d'hypertension artérielle et d'adiposité (OAIE pces 18, 19, 20, 21, 22, 23, 24, 28, 31; TAF pce 1). Apparaît également le diagnostic de syndrome dysthymique, secondaire aux phases algiques d'exacerbation, qui n'est toutefois mentionné que dans un seul rapport, celui du Dr H._______, datant du 27 janvier 2003, soit d'un peu plus de sept ans avant le dépôt de la demande de prestations, et qui n'est plus évoqué par la suite. Le litige porte ainsi sur les répercussions des atteintes précitées sur la capacité de travail de l'intéressée et sur sa capacité à accomplir ses travaux habituels, singulièrement sur le point de savoir si elle présente un taux d'invalidité suffisant pour prétendre à des prestations de l'assurance-invalidité.</w:t>
      </w:r>
    </w:p>
    <w:p>
      <w:r>
        <w:rPr>
          <w:b/>
        </w:rPr>
        <w:t>E. 9</w:t>
      </w:r>
    </w:p>
    <w:p>
      <w:r>
        <w:t>Il sied tout d'abord de relever, concernant le statut de la recourante, que la Dresse G._______, dans sa prise de position du 28 février 2011 (OAIE pce 24), a indiqué que la méthode d'évaluation de l'invalidité applicable en l'occurrence était la méthode mixte, la recourante travaillant épisodiquement comme aide au ménage/femme de chambre, durant des périodes limitées. De son côté, la recourante affirme, dans le questionnaire à l'assuré (OAIE pce 15), que lorsqu'elle est rentrée en Espagne, ses problèmes de santé l'ont empêchée d'effectuer de multiples travaux et qu'elle a cessé son activité professionnelle le 14 août 2004 en raison de son état de santé; on pourrait dès lors en déduire qu'elle aurait travaillé plus, voire à temps complet, sans atteintes à la santé. Or la question de la méthode d'évaluation de l'invalidité applicable en l'espèce peut rester ouverte, dans la mesure où, ainsi qu'en a conclu l'autorité inférieure en se basant sur les conclusions du formulaire E 213 et de son service médical, la recourante ne présente pas d'invalidité au sens du droit suisse, que ce soit dans l'accomplissement des travaux domestiques ou dans l'exercice de son activité professionnelle habituelle.</w:t>
      </w:r>
    </w:p>
    <w:p>
      <w:r>
        <w:rPr>
          <w:b/>
        </w:rPr>
        <w:t>E. 10.1</w:t>
      </w:r>
    </w:p>
    <w:p>
      <w:r>
        <w:t>En effet, la Dresse F._______, dans le rapport E 213 du 5 novembre 2010 (OAIE pce 18) faisant suite à un examen personnel de l'intéressée le 3 novembre 2010, relève que les affections observées (E 213 p. 8), qui sont chroniques et présentent des périodes d'exacerbation, ne sont pas invalidantes et n'entraînent pas de limitations fonctionnelles, mise à part durant les périodes d'exacerbation où, en raison de la douleur ressentie, il existe une limitation dans des tâches impliquant une surcharge intense et continue au niveau cervical et lombaire, la recourante conservant toutefois une bonne fonctionnalité. La Dresse F._______ estime dès lors que l'intéressée est encore en mesure d'effectuer régulièrement des travaux lourds et qu'elle est donc toujours capable d'exercer à temps complet son activité habituelle ou toute autre activité professionnelle. Cette évaluation, complète et cohérente, qui se fonde sur un examen clinique circonstancié de la recourante (E 213 p. 3 à 6), tient compte des antécédents et plaintes de cette dernière (E 213 p. 2) et donne une appréciation de même que des conclusions claires et motivées de la situation (E 213 p. 8 à 10), satisfaisant ainsi aux exigences jurisprudentielles en la matière (voir supra consid. 7), se trouve par la suite corroborée par les prises de position successives des 28 février, 17 juillet et 29 novembre 2011 de la Dresse G._______ (OAIE pces 24, 43, 54). Ce médecin note, au vu des documents au dossier et en particulier des radiographies fournies, que les altérations présentes au niveau cervical, lombo-vertébral et des genoux sont légères à modérées, que la fonctionnalité du rachis et des genoux est par ailleurs entièrement conservée, la démarche normale et qu'aucun déficit radiculaire sensori-moteur n'est à relever. Elle ne constate aucune atteinte à la santé susceptible de justifier l'octroi d'une rente d'invalidité, ne note aucune limitation fonctionnelle et estime que la recourante peut sans restriction exercer son activité professionnelle habituelle tout comme effectuer les travaux afférents à un ménage de trois personnes. La Dresse G._______ conclut donc à une pleine capacité dans l'exercice d'une activité lucrative et dans l'accomplissement des travaux habituels. Là encore, les positions exprimées sont convaincantes et complètes, et le Tribunal de céans peut s'y rallier, en particulier dans la mesure où les rapports de la Dresse G._______ portent une appréciation motivée et cohérente sur la situation médicale de l'intéressée et expliquent pourquoi, en présence de pièces médicales contradictoires, il y a lieu de retenir les conclusions figurant dans le rapport E 213 et d'écarter les opinions contraires (voir notamment prise de position du 29 novembre 2011 [OAIE pce 54]; arrêts du Tribunal fédéral 9C_581/2007 du 14 juillet 2008 consid. 3.2 et 9C_341/2007 du 16 novembre 2007 consid. 4.1).</w:t>
      </w:r>
    </w:p>
    <w:p>
      <w:r>
        <w:rPr>
          <w:b/>
        </w:rPr>
        <w:t>E. 10.2</w:t>
      </w:r>
    </w:p>
    <w:p>
      <w:r>
        <w:t>En effet, parmi les autres documents médicaux versés au dossier, dont la plupart, s'ils permettent d'établir les affections dont souffre la recourante, consistent en résultats d'examens radiologiques ou en énumérations de diagnostics, sans faire état de limitations fonctionnelles, deux se prononcent sur la question de la capacité de travail pour conclure, au contraire du rapport E 213 et des avis de la Dresse G._______, à une incapacité de travail de l'intéressée.</w:t>
      </w:r>
    </w:p>
    <w:p>
      <w:r>
        <w:rPr>
          <w:b/>
        </w:rPr>
        <w:t>E. 10.2.1</w:t>
      </w:r>
    </w:p>
    <w:p>
      <w:r>
        <w:t>Dans le premier de ces deux rapports, du 28 septembre 2001 (OAIE pce 18), le Dr D._______, spécialiste en chirurgie orthopédique et traumatologie, conclut à une incapacité totale dans l'exercice de toute activité professionnelle, tout en posant les mêmes diagnostics que ceux retenus dans le rapport E 213 au niveau du rachis. Or, outre que ce document est ancien, il est succinct et, ainsi que le relève la Dresse G._______ dans sa prise de position du 29 novembre 2011, peu motivé, le Dr D._______ ne décrivant aucune limitation fonctionnelle qui permettrait d'expliquer sa conclusion quant à l'incapacité de travail de l'intéressée. En outre, le Tribunal remarque que la recourante a à nouveau travaillé comme aide au ménage/femme de chambre auprès de l'Hôtel C._______ du 22 octobre au 21 novembre 2001, soit moins d'un mois après le rapport du Dr D._______, période d'activité suivie par une période de chômage dès le 22 novembre 2001 (OAIE pce 12; cf. supra A); il n'apparaît pas ainsi que son état de santé ait alors été incompatible avec l'exercice de son activité habituelle. Enfin, le rapport du 28 septembre 2001 émane d'un médecin travaillant auprès de l'Hôpital E._______ où la recourante a indiqué se faire soigner depuis 1993 (OAIE pce 15 p. 4) et, comme le Dr D._______ le mentionne, a été établi à la demande de la patiente. Or, le Tribunal fédéral l'a précisé, au vu de la divergence consacrée par la jurisprudence entre un mandat thérapeutique et un mandat d'expertise, on ne saurait remettre en cause une expertise ordonnée par l'administration ou le juge du seul fait qu'un ou plusieurs médecins traitants ont une opinion contraire; le juge peut et doit tenir compte, dans ce contexte, du fait que selon l'expérience, le médecin traitant est généralement enclin, en cas de doute, à prendre parti pour son patient en raison de la relation de confiance qui l'unit à ce dernier. Cette constatation s'applique de même aux médecins non traitants consultés par le patient en vue d'obtenir un moyen de preuve à l'appui de sa requête (ATF 125 V 351 consid. 3b et 3c). Le rapport du Dr D._______ du 28 septembre 2001 ne saurait en conséquence mettre en cause les conclusions du rapport E 213 et celles de la Dresse G._______.</w:t>
      </w:r>
    </w:p>
    <w:p>
      <w:r>
        <w:rPr>
          <w:b/>
        </w:rPr>
        <w:t>E. 10.2.2</w:t>
      </w:r>
    </w:p>
    <w:p>
      <w:r>
        <w:t>Le second rapport est celui du Dr H._______ du 27 janvier 2003 (OAIE pce 31), qui conclut quant à lui qu'en raison des pathologies et des épisodes algiques et dysthymiques dont souffre la recourante, celle-ci présente une incapacité dans l'exercice de son activité professionnelle, le port de charges et les efforts physiques intenses devant être évités. Si ce rapport est un peu plus motivé que le précédent, dans la mesure où il décrit des limitations fonctionnelles liées aux pathologies diagnostiquées, il ne saurait mieux convaincre, étant lui aussi ancien, succinct et établi à la demande de l'intéressée. En particulier, comme le souligne la Dresse G._______ dans sa prise de position du 29 novembre 2011, il ne donne aucun détail anamnestique, ni ne fait état des résultats d'un examen clinique. En outre, il s'avère que la recourante a à nouveau pu reprendre son activité par la suite, du 15 juillet au 14 août 2004. Enfin, il sied de préciser, ce qu'a également fait la Dresse G._______ dans sa prise de position du 17 juillet 2011, que la dysthymie ne constitue pas, en principe, à elle seule, une atteinte à la santé ayant un caractère invalidant (arrêt du Tribunal fédéral 9C_246/2010 du 11 mai 2010 consid. 2.2.1 et les références). Eu égard au fait qu'aucune atteinte psychique grave n'apparaît dans ce dossier, à côté du diagnostic de dysthymie, il n'y a pas de motifs pertinents pour s'écarter de cette règle jurisprudentielle en l'espèce.</w:t>
      </w:r>
    </w:p>
    <w:p>
      <w:r>
        <w:rPr>
          <w:b/>
        </w:rPr>
        <w:t>E. 10.3</w:t>
      </w:r>
    </w:p>
    <w:p>
      <w:r>
        <w:t>Se trouvent encore au dossier des documents de la Direction de la santé et des services sociaux de X. du 28 janvier 2000 reconnaissant à la recourante un degré d'invalidité de 42% (OAIE pces 28 à 30). Or, ainsi que l'expose l'autorité inférieure dans la décision litigieuse,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l'invalidité selon le droit suisse étant constituée par les répercussions de l'atteinte à la santé sur la capacité de travail, et non par l'atteinte à la santé en tant que telle.</w:t>
      </w:r>
    </w:p>
    <w:p>
      <w:r>
        <w:rPr>
          <w:b/>
        </w:rPr>
        <w:t>E. 10.4</w:t>
      </w:r>
    </w:p>
    <w:p>
      <w:r>
        <w:t>Enfin, le questionnaire pour assurés travaillant dans le ménage du 20 janvier 2011 (OAIE pce 14), que la recourante a elle-même rempli et signé, n'est pas non plus de nature à remettre en question les conclusions du rapport E 213 et de la Dresse G._______. En effet, outre que ce document ne peut, à lui seul, justifier que l'on s'écarte des conclusions retenues par le médecin-conseil de l'OAIE (voir supra consid. 7), il en ressort que l'intéressée est encore capable de prendre en charge les tâches ménagères, toutefois, pour certains travaux, avec quelques difficultés et l'aide des membres de sa famille, son ménage se composant de son mari et de son enfant, âgé de 31 ans à la date du questionnaire. Ainsi, la recourante admet être en mesure, bien qu'avec difficultés, de préparer les repas, de laver la vaisselle (sans lave-vaisselle) et de nettoyer la cuisine. S'agissant de l'entretien de la maison dans laquelle vit la famille, la recourante affirme utiliser l'aspirateur et faire les lits, bien que toujours avec difficulté, mais ne pas nettoyer les vitres. Elle indique également faire la lessive, étendre le linge et raccommoder, mais ne pas repasser car elle doit rester debout. Pour les achats, l'intéressée déclare avoir besoin d'être accompagnée, ne pouvant porter de poids. Il résulte dès lors de ce qui précède que la recourante peut s'acquitter seule de la plupart des activités du ménage lesquelles s'apparentent d'ailleurs aux tâches exigées dans son activité professionnelle d'aide au ménage qu'elle est jugée apte à effectuer , intégrant pour le reste, de manière adéquate, l'aide que peuvent lui apporter les membres de sa famille. A cet égard, il y a lieu de préciser que l'assuré qui s'occupe du ménage, à temps plein ou partiellement, a l'obligation de réduire le dommage et qu'afin de satisfaire à cette obligation, il doit de sa propre initiative, s'il n'accomplit que difficilement ou avec un investissement temporel beaucoup plus important certains travaux ménagers en raison de son handicap, faire tout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à cet égard, une incapacité significative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(ATF 133 V 504 consid. 4.2 et les références, ATF 130 V 97 consid. 3.2 et 3.3.3, arrêts du Tribunal fédéral 8C_440/2011 du 11 juillet 2011 consid. 4.2 et I 257/04 du 17 mars 2005 consid. 5.4.4; Michel Valterio, Droit de l'assurance-vieillesse et survivants (AVS) et de l'assurance-invalidité (AI), Genève Zurich Bâle 2011, n° 2156 et les références, 2157, 2175). Cette aide accrue que l'on peut raisonnablement attendre de l'entourage de la recourante - à savoir en l'occurrence de son mari et de son enfant adulte - vient encore renforcer les conclusions des médecins quant à la pleine capacité de cette dernière dans l'accomplissement des tâches domestiques.</w:t>
      </w:r>
    </w:p>
    <w:p>
      <w:r>
        <w:rPr>
          <w:b/>
        </w:rPr>
        <w:t>E. 11</w:t>
      </w:r>
    </w:p>
    <w:p>
      <w:r>
        <w:t>En conséquence, dans la mesure où les pièces versées au dossier ne sont pas de nature à infirmer ou modifier les conclusions convaincantes du rapport E 213 du 5 novembre 2010 et du service médical de l'OAIE, le Tribunal de céans retient que l'intéressée est apte à travailler à temps plein dans tout type d'activité et à accomplir les travaux habituels de son ménage. Partant, le recours étant manifestement infondé, il doit être rejeté dans une procédure à juge unique en application de l'art. 85bis al. 3 de la loi sur l'assurance-vieillesse et survivants (LAVS, RS 831.10), auquel renvoie l'art. 69 al. 2 LAI.</w:t>
      </w:r>
    </w:p>
    <w:p>
      <w:r>
        <w:rPr>
          <w:b/>
        </w:rPr>
        <w:t>E. 12</w:t>
      </w:r>
    </w:p>
    <w:p>
      <w:r>
        <w:t>La recourante, qui succombe, doit s'acquitter des frais de justice fixés, compte tenu de la charge liée à la procédure, à Fr. 400.-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