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C-4703/2008 vom 5. Februar 2010</w:t>
      </w:r>
    </w:p>
    <w:p>
      <w:r>
        <w:t>Bundesverwaltungsgericht, 2010-02-05, FR</w:t>
      </w:r>
    </w:p>
    <w:p>
      <w:r>
        <w:rPr>
          <w:b/>
        </w:rPr>
        <w:t xml:space="preserve">Quelle: </w:t>
      </w:r>
      <w:r>
        <w:t>https://mcp.opencaselaw.ch/entscheid/bvger_C-4703_2008</w:t>
      </w:r>
    </w:p>
    <w:p>
      <w:r>
        <w:t>FR: TAF C-4703/2008 du 5 février 2010</w:t>
      </w:r>
    </w:p>
    <w:p>
      <w:r>
        <w:t>IT: TAF C-4703/2008 del 5 febbraio 2010</w:t>
      </w:r>
    </w:p>
    <w:p>
      <w:pPr>
        <w:pStyle w:val="Heading2"/>
      </w:pPr>
      <w:r>
        <w:t>Regeste</w:t>
      </w:r>
    </w:p>
    <w:p>
      <w:r>
        <w:t>Assurance-invalidité (AI)</w:t>
      </w:r>
    </w:p>
    <w:p>
      <w:pPr>
        <w:pStyle w:val="Heading2"/>
      </w:pPr>
      <w:r>
        <w:t>Erwägungen</w:t>
      </w:r>
    </w:p>
    <w:p>
      <w:r>
        <w:rPr>
          <w:b/>
        </w:rPr>
        <w:t>E. 1.1</w:t>
      </w:r>
    </w:p>
    <w:p>
      <w:r>
        <w:t>En application de l'art. 40 du règlement du 17 janvier 1961 sur l'assurance-invalidité (RAI, RS 831.201), l'office AI du secteur d'activité dans lequel le frontalier a travaillé est compétent pour examiner les demandes présentées par des frontaliers, tandis que les décisions sont notifiées par l'OAIE. 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donc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La décision litigieuse est datée du 27 mai 2008. S'agissant du droit applicable, il convient donc encore de préciser que le 1er janvier 2008 les modifications de la LAI introduites par la novelle du 6 octobre 2006 (5e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Selon une jurisprudence constante, le juge des assurances sociales apprécie la légalité des décisions attaquées, en règle générale, d'après l'état de fait existant jusqu'au moment où la décision litigieuse a été rendue (ATF 116 V 246 consid. 1a et les arrêts cités). En l'espèce, le recourant a déposé une nouvelle demande de prestations AI le 8 février 2008 et la question litigieuse concerne l'application de l'art. 87. al. 4 RAI, lequel n'a subi aucune modification avec l'entrée en vigueur de la 5ème révision. Il s'en suit que les dispositions topiques sont donc citées dans le présent arrêt dans leur teneur en vigueur au 1er janvier 2008, sauf mention contraire.</w:t>
      </w:r>
    </w:p>
    <w:p>
      <w:r>
        <w:rPr>
          <w:b/>
        </w:rPr>
        <w:t>E. 4.1</w:t>
      </w:r>
    </w:p>
    <w:p>
      <w:r>
        <w:t>Aux termes de l'art. 87 al. 3 et 4 RAI, applicable par analogie aux prestations de réadaptation (ATF 130 V 64 consid 2, ATF 109 V 119 consid. 3b) lorsque l'administration examine une nouvelle demande de l'assuré après un premier refus de prestations, elle n'entrera en matière que s'il est établi de façon plausible que l'invalidité s'est modifiée de manière à influencer ses droits. A défaut d'apporter cette preuve préalable au nouvel examen du droit aux prestations, l'affaire est liquidée sans autre examen par une décision de non-entrée en matière sujette à recours devant le tribunal compétent. On entend ainsi éviter que l'administration ne doive s'occuper continuellement des mêmes cas, soit des cas où la situation n'a pas subi de modification (ATF 125 V 410 consid. 2b, VSI 2000 242).</w:t>
      </w:r>
    </w:p>
    <w:p>
      <w:r>
        <w:rPr>
          <w:b/>
        </w:rPr>
        <w:t>E. 4.2</w:t>
      </w:r>
    </w:p>
    <w:p>
      <w:r>
        <w:t>Dans l'examen des allégations de l'assuré quant à la péjoration de son état de santé, l'administration peut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doit comparer la situation existante au moment du rejet de la demande de prestations avec les circonstances existantes au moment de la décision de refus d'entrer en matière sur la nouvelle demande (Arrêt du Tribunal fédéral I 187/05 du 11 mai 2006, voir ég. ATF 130 V 343 consid. 3.5). 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arrêt du Tribunal fédéral I 597/05 du 8 janvier 2007). Ces principes, développés par la jurisprudence en relation avec la nouvelle demande de prestations (art. 87 al. 3 et 4 RAI), sont également applicables, par analogie, à la demande de révision (ATF 130 V 71 consid. 3, ATF 109 V 262 consid. 3).</w:t>
      </w:r>
    </w:p>
    <w:p>
      <w:r>
        <w:rPr>
          <w:b/>
        </w:rPr>
        <w:t>E. 5</w:t>
      </w:r>
    </w:p>
    <w:p>
      <w:r>
        <w:t>En l'espèce, la décision du 27 mai 2008 de l'autorité intimée doit être considérée comme un refus d'entrée en matière sur la demande du recourant du 8 février 2008 et le litige porte sur la question de savoir si ce refus est conforme au droit. Tout autre conclusion du recourant tendant à l'octroi d'une rente est irrecevable devant la Cour de céans.</w:t>
      </w:r>
    </w:p>
    <w:p>
      <w:r>
        <w:rPr>
          <w:b/>
        </w:rPr>
        <w:t>E. 5.1</w:t>
      </w:r>
    </w:p>
    <w:p>
      <w:r>
        <w:t>La première demande déposée en 2005 et refusée en 2007, reposait sur un diagnostic principal faisant essentiellement état d'atteintes importantes à la cuisse droite et au genou droit, lequel avait subi une arthroplastie, ainsi que de lombosciatalgies à prédominance droite. Or, dans la procédure se rattachant à la nouvelle demande, outre des pièces au sujet du diagnostic déjà connu, figurent un certificat médical évoquant une maladie de Dupuytren bilatérale et un autre document attestant de problèmes psychiques et de dépendance d'une certaine importance. Rien dans la documentation médicale antérieure ne suggère que le recourant subissait des atteintes à ses membres supérieurs, en particulier, l'expertise E 213 est muette à ce sujet, ne signalant rien de spécifique au sujet des mains, si bien que l'on peut pas suivre la Dresse G._______lorsqu'elle affirme qu'il n'y a aucun élément nouveau. Il en va de même pour les troubles d'ordre psychique qui demandent certes à être investigués par un médecin psychiatre (sur la qualification de l'expert cf. arrêt du Tribunal fédéral I 779/01 du 16 octobre 2002 consid. 4.1) mais dont il n'était également fait nulle mention dans le dossier ayant présidé au prononcé de la première décision. Que la Dresse G._______les écarte au motif qu'un "certain degré de tristesse" avait déjà été relevé dans les rapports antérieurs laisse la Cour de céans perplexe. Il est bien vrai qu'en 2005, les médecins de la clinique Rheinburg, dans laquelle le recourant passait sa convalescence, évoquait "Im Affekt schwingungsfähig, wirkt zum Teil resigniert und traurig" ce qui n'a rien à voir avec un trouble dûment identifié en 2008 en référence à une classification internationale.</w:t>
      </w:r>
    </w:p>
    <w:p>
      <w:r>
        <w:rPr>
          <w:b/>
        </w:rPr>
        <w:t>E. 5.2</w:t>
      </w:r>
    </w:p>
    <w:p>
      <w:r>
        <w:t>Le laps de temps écoulé entre la première décision et la nouvelle demande est certes bref (2 mois). Toutefois, il sied de remarquer que la documentation médicale la plus récente au moment de la décision date de l'été 2007 (expertise E 213 et certificat émanant d'un neurologue) et ne s'exprime pas au sujet de la capacité de travail résiduelle du recourant. Il s'en suit que bien que l'autorité dispose d'un large pouvoir d'appréciation dans le cadre de l'application de l'art. 84 al. 3 et al. 4 RAI, elle ne pouvait ainsi faire tout bonnement fi des éléments nouveaux.</w:t>
      </w:r>
    </w:p>
    <w:p>
      <w:r>
        <w:rPr>
          <w:b/>
        </w:rPr>
        <w:t>E. 6</w:t>
      </w:r>
    </w:p>
    <w:p>
      <w:r>
        <w:t>Au vu de ce qui précède, le recours doit être partiellement admis. La décision du 27 mai 2008 est annulée et la cause est renvoyée à l'autorité intimée afin qu'elle entre en matière sur la demande du recourant. Elle instruira la cause au fond; elle vérifiera que la modification du degré d'invalidité rendue plausible par l'assuré est réellement intervenue. Si l'administration constate que l'invalidité ne s'est pas modifiée depuis la décision précédente, passée en force, elle rejettera la demande. Sinon, elle devra encore examiner si la modification constatée suffit à fonder une invalidité donnant droit à des prestations et statuer en conséquence (arrêt du Tribunal fédéral I 132/03 du 26 avril 2005 consid. 2).</w:t>
      </w:r>
    </w:p>
    <w:p>
      <w:r>
        <w:rPr>
          <w:b/>
        </w:rPr>
        <w:t>E. 7.1</w:t>
      </w:r>
    </w:p>
    <w:p>
      <w:r>
        <w:t>Compte tenu de l'issu du litige, il n'est pas perçu de frais de procédure (art. 63 al. 1 et 2 PA). En conséquence, l'avance de frais de Fr. 400.-- déjà versée par le recourant lui sera restituée sur le compte bancaire qu'il aura désigné, une fois le présent arrêt entré en force.</w:t>
      </w:r>
    </w:p>
    <w:p>
      <w:r>
        <w:rPr>
          <w:b/>
        </w:rPr>
        <w:t>E. 7.2</w:t>
      </w:r>
    </w:p>
    <w:p>
      <w:r>
        <w:t>A teneur de l'art. 64 PA, l'autorité de recours peut allouer, d'office ou sur requête, à la partie ayant entièrement ou partiellement gain de cause une indemnité pour les frais indispensables et relativement élevés qui lui ont été occasionnés. En l'espèce, le recourant s'est défendu seul, sans faire appel à un mandataire, et il n'est pas démontré qu'il a subi de ce fait des frais considérables. Partant, il ne lui est pas alloué de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