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C-469/2010 vom 10. Mai 2011</w:t>
      </w:r>
    </w:p>
    <w:p>
      <w:r>
        <w:t>Bundesverwaltungsgericht, 2011-05-10, FR</w:t>
      </w:r>
    </w:p>
    <w:p>
      <w:r>
        <w:rPr>
          <w:b/>
        </w:rPr>
        <w:t xml:space="preserve">Quelle: </w:t>
      </w:r>
      <w:r>
        <w:t>https://mcp.opencaselaw.ch/entscheid/bvger_C-469_2010</w:t>
      </w:r>
    </w:p>
    <w:p>
      <w:r>
        <w:t>FR: TAF C-469/2010 du 10 mai 2011</w:t>
      </w:r>
    </w:p>
    <w:p>
      <w:r>
        <w:t>IT: TAF C-469/2010 del 10 maggio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vu le dépôt de la demande de prestations en date du 5 mars 2009. En l'espèce, le Tribunal peut se limiter à examiner si la recourante remplissait les conditions d'octroi d'une rente jusqu'au 4 janvier 2010,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recourante a travaillé en Suisse en dernier lieu de février 2002 à août 2006 dans les services de nettoyage d'un établissement hospitalier sans interruption de travail. Retournée en Espagne, elle a exercé de même une activité dans le nettoyage de bureaux pendant 3 mois puis cessa toute activité lucrative en raison d'atteintes à sa santé.</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La Sécurité sociale espagnole, dans son rapport médical E 213 du 27 février 2009, fit état des rapports radiologiques du rachis, d'une limitation dans la balance articulaire, d'une distance doigts-sol de 30 cm, de non contractures musculaires, de réflexes ostéotendineux symétriques, d'un Lasègue et d'un Bragard négatifs, d'un glaucome chronique simple bilatéral, d'une hypothyroïdie, d'atteintes dégénératives frustes du rachis de L3 à S1, de fibromyalgie; elle releva que les données médicales actuelles ne justifiaient pas d'incapacité permanente de travail et indiqua la possibilité d'un travail moyennement lourd, dont à plein temps l'activité dans le nettoyage ainsi que tout travail adapté. La fibromyalgie fut déjà diagnostiquée en Suisse en 2004-2005 mais l'intéressée maintint son travail à plein temps jusqu'en août 2006 sans que cette atteinte à la santé n'ait induit d'interruption de travail pour raison médicale. Par ailleurs il n'appert pas du dossier d'atteintes à la santé d'ordre psychiatrique qui en relation avec les atteintes de type fibromyalgique entraîneraient une comorbidité ayant des incidences déterminantes sur la capacité de travail comme l'exige la jurisprudence pour retenir un status invalidant à une fibromyalgie de relative grande intensité (cf. ATF 132 V 65 et les réf.).</w:t>
      </w:r>
    </w:p>
    <w:p>
      <w:r>
        <w:rPr>
          <w:b/>
        </w:rPr>
        <w:t>E. 8.2</w:t>
      </w:r>
    </w:p>
    <w:p>
      <w:r>
        <w:t>Il s'ensuit de ce qui précède, et du fait que la Sécurité sociale espagnole n'a elle-même pas retenu d'incapacité de travail déterminante en application de sa législation sociale, que le Tribunal de céans peut confirmer la décision de l'OAIE, prise à la suite du rapport de son service médical, de ne pas retenir d'invalidité déterminante au sens de l'AI. Le Dr H._______ a indiqué que l'intéressée peut exercer son travail à plein temps. Dans tous les cas il peut être retenu que la recourante peut exercer son travail à plus de 60% ainsi que ses activités ménagères dans une mesure telle qu'elle ne peut prétendre à une rente d'invalidité faute d'une incapacité de travail de 40% au moins sur une année. C'est donc à juste titre que l'OAIE a rendu une décision de rejet de la demande de prestations.</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10.2</w:t>
      </w:r>
    </w:p>
    <w:p>
      <w:r>
        <w:t>Les frais de procédure par Fr. 300.- sont mis à la charge de la recourante (art. 63 al. 1 PA, applicable par le truchement de l'art. 37 LTAF). Ils sont compensés par l'avance de frais déjà fournie de Fr. 343.-. Le solde de Fr. 43.- lui est restitué.</w:t>
      </w:r>
    </w:p>
    <w:p>
      <w:r>
        <w:rPr>
          <w:b/>
        </w:rPr>
        <w:t>E. 10.3</w:t>
      </w:r>
    </w:p>
    <w:p>
      <w:r>
        <w:t>Vue l'issue du litige, il n'est pas alloué d'indemnité de dépens (art. 7 al. 3 du règlement du 21 février 2008 concernant les frais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