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C-4698/2007 vom 1. Juli 2009</w:t>
      </w:r>
    </w:p>
    <w:p>
      <w:r>
        <w:t>Bundesverwaltungsgericht, 2009-07-01, FR</w:t>
      </w:r>
    </w:p>
    <w:p>
      <w:r>
        <w:rPr>
          <w:b/>
        </w:rPr>
        <w:t xml:space="preserve">Quelle: </w:t>
      </w:r>
      <w:r>
        <w:t>https://mcp.opencaselaw.ch/entscheid/bvger_C-4698_2007</w:t>
      </w:r>
    </w:p>
    <w:p>
      <w:r>
        <w:t>FR: TAF C-4698/2007 du 1 juillet 2009</w:t>
      </w:r>
    </w:p>
    <w:p>
      <w:r>
        <w:t>IT: TAF C-4698/2007 del 1 luglio 2009</w:t>
      </w:r>
    </w:p>
    <w:p>
      <w:pPr>
        <w:pStyle w:val="Heading2"/>
      </w:pPr>
      <w:r>
        <w:t>Regeste</w:t>
      </w:r>
    </w:p>
    <w:p>
      <w:r>
        <w:t>Assurance-invalidité (AI)</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d'une ressortissante de l'Union européenne, l'ALCP et les règlements (CEE) n° 1408/71 du Conseil du 14 juin 1971 et (CEE) n° 574/72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s'agissant d'une révision du droit à la rente en application de l'art. 17 LPGA est régi par la teneur de la LAI au moment de la décision sur opposition entreprise eu égard au principe selon lequel les règles applicables sont celles en vigueur au moment où les faits juridiquement déterminants se sont produits (ATF 131 V 9 consid. 1, ATF 130 V 445 et les références). La présente procédure est ainsi régie par la teneur de la LAI modifiée par la novelle du 21 mars 2003 (4ème révision). Les dispositions de la 5ème révision entrées en vigueur le 1er janvier 2008 ne sont pas applicables.</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1 LAI en vigueur au 1er janvier 2004, l'assuré a droit à un quart de rente s'il est invalide à 40% au moins, à une demi-rente s'il est invalide à 50% au moins, à trois quarts de rente s'il est invalide à 60% au moins et à une rente entière s'il est invalide à 70% au moins. Les rentes correspondant à un degré d'invalidité inférieur à 50% ne sont versées qu'aux assurés qui ont leur domicile et leur résidence habituelle en Suisse (art. 28 al. 1ter LAI). Toutefois, depuis l'entrée en vigueur des Accords sur la libre circulation des personnes, les ressortissants de l'Union européenne et les ressortissants suisses (cf. l'accord entre la Suisse et la Communauté européenne et ses Etats membres sur la libre circulation des personnes du 21 juin 1999 [ALCP, RS 0.142.112.681], annexe II art. 1er ch. 2), qui présentent un degré d'invalidité de 40% au moins, ont droit à un quart de rente en application de l'art. 28 al. 1 LAI à partir du 1er juin 2002 s'ils ont leur domicile et leur résidence habituelle dans un Etat membre de l'UE (arrêt du Tribunal fédéral I 702/03 du 28 mai 2004 consid. 1 et références).</w:t>
      </w:r>
    </w:p>
    <w:p>
      <w:r>
        <w:rPr>
          <w:b/>
        </w:rPr>
        <w:t>E. 4.3</w:t>
      </w:r>
    </w:p>
    <w:p>
      <w:r>
        <w:t>La notion d'invalidité, dont il est question à l'art. 8 LPGA et à l'art. 4 LAI est de nature économique/juridique, établissant une incapacité de gain permanente ou probablement de longue durée, et non médicale (ATF 127 V 294 consid. 4b)bb, ATF 116 V 246 consid. 1b; Sozialversicherungsrecht Rechtsprechung [SVR] 2009 IV n° 8 p. 16).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Le Tribunal fédéral a néanmoins jugé que les données fournies par les médecins constituent un élément utile pour déterminer quels travaux peuvent encore être exigés de l'assuré (ATF 125 V 256 consid. 4).</w:t>
      </w:r>
    </w:p>
    <w:p>
      <w:r>
        <w:rPr>
          <w:b/>
        </w:rPr>
        <w:t>E. 5.1</w:t>
      </w:r>
    </w:p>
    <w:p>
      <w:r>
        <w:t>Selon l'art. 17 LPGA (v. aussi l'ancien art. 41 LAI; arrêt du Tribunal fédéral I 561/05 du 31 mars 2006),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5.3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L'art. 88bis al. 2 let. a RAI prévoit que la diminution ou la suppression de la rente ou de l'allocation pour impotent prend effet, au plus tôt, le premier jour du deuxième mois qui suit la notification de la décision.</w:t>
      </w:r>
    </w:p>
    <w:p>
      <w:r>
        <w:rPr>
          <w:b/>
        </w:rPr>
        <w:t>E. 6.1</w:t>
      </w:r>
    </w:p>
    <w:p>
      <w:r>
        <w:t>Pour examiner si dans un cas de révision il y a eu une modification importante du degré d'invalidité au sens de l'art. 17 LPGA, le juge doit prendre généralement en considération l'influence de l'état de santé sur la capacité de gain au moment où fut rendue la décision qui a octroyé ou modifié le droit à la rente ainsi que l'état de fait existant au moment de la décision attaquée. Par ailleurs, le Tribunal fédéral a établi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 arrêt du Tribunal fédéral 9C_860/2008 du 19 février 2009 consid. 2.1).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citées).</w:t>
      </w:r>
    </w:p>
    <w:p>
      <w:r>
        <w:rPr>
          <w:b/>
        </w:rPr>
        <w:t>E. 6.2</w:t>
      </w:r>
    </w:p>
    <w:p>
      <w:r>
        <w:t>En l'espèce, le recourant a bénéficié d'une rente d'invalidité entière depuis le 1er septembre 1995 ensuite d'une décision du 6 février 1996. Cette rente a été reconduite en 1999 à la suite d'une procédure de révision qui n'a pas fait l'objet d'une décision formelle. La question de savoir si le degré d'invalidité a subi, depuis lors une modification doit être jugé in casu en comparaison des faits ayant fondé la décision du 6 février 1996 et des faits à la date de la décision litigieuse du 19 juin 2007.</w:t>
      </w:r>
    </w:p>
    <w:p>
      <w:r>
        <w:rPr>
          <w:b/>
        </w:rPr>
        <w:t>E. 7.1</w:t>
      </w:r>
    </w:p>
    <w:p>
      <w:r>
        <w:t>Conformément au principe inquisitoire qui régit la procédure dans le domaine des assurances sociales (art. 43 LPGA), l'administration est tenue de prendre d'office les mesures d'instruction nécessaires et de recueillir les renseignements dont elle a besoin. En particulier, elle doit mettre en oeuvre une expertise lorsqu'il apparaît nécessaire de clarifier les aspects médicaux du cas (ATF 117 V 283 consid. 4a).</w:t>
      </w:r>
    </w:p>
    <w:p>
      <w:r>
        <w:rPr>
          <w:b/>
        </w:rPr>
        <w:t>E. 7.2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Ueli Kieser, ATSG-Kommentar, Zurich 2009, art. 42 n° 19 p. 536 ; ATF 130 II 425 consid. 2.1 et les références; arrêt du Tribunal fédéral 9C_859/2007 du 16 décembre 2008 consid. 5). Une telle manière de procéder ne viole pas le droit d'être entendu selon l'art. 29 al. 2 Cst. (SVR 2001 IV n° 10 p. 28).</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8.2</w:t>
      </w:r>
    </w:p>
    <w:p>
      <w:r>
        <w:t>La jurisprudence a posé des lignes directrices en ce qui concerne la manière d'apprécier certains types d'expertise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(ATF 125 V 351 cons. 3b/aa; 118 V 290 consid. 1b et les références). Au sujet des rapports établis par les médecins traitant, le juge peut et doit tenir compte du fait que selon l'expérience, le médecin traitant est généralement enclin, en cas de doute, à prendre parti pour son patient en raison de la relation de confiance qui l'unit à ce dernier (ATF 125 V 351 consid. 3b/cc et les références). Cette constatation s'applique de même aux médecins non traitant consultés par un patient en vue d'obtenir un moyen de preuve à l'appui de sa requête. Toutefois le simple fait qu'un certificat médical est établi à la demande d'une partie et est produit pendant la procédure ne justifie pas en soi des doutes quant à sa valeur probante (ATF 125 V 351 consid. 3b/dd et les références citées).</w:t>
      </w:r>
    </w:p>
    <w:p>
      <w:r>
        <w:rPr>
          <w:b/>
        </w:rPr>
        <w:t>E. 9</w:t>
      </w:r>
    </w:p>
    <w:p>
      <w:r>
        <w:t>Selon la jurisprudence du Tribunal fédéral, l'administration ne peut rendre une décision sur opposition de nature cassatoire, en ce sens qu'elle se limite à annuler la décision précédente en raison de la nécessité d'une instruction complémentaire. L'administration doit compléter le dossier et réformer la décision initiale par une décision sur opposition mettant fin à l'instance (ATF 131 V 407). Dans la présente cause l'autorité inférieure a rendu à tort le 2 mai 2005 une décision sur opposition de nature cassatoire annulant la décision du 17 janvier 2005. Cela étant, la décision de l'OAIE du 19 juin 2007 doit être considérée comme la décision sur opposition mettant fin à la première instance. Il s'ensuit que la suppression de la rente au 1er mars 2005 conformément à l'art. 88bis al. 2 let. a RAI, vu la décision du 17 janvier 2005, pourra être maintenue si au fond la décision de suppression de rente devait être confirmée.</w:t>
      </w:r>
    </w:p>
    <w:p>
      <w:r>
        <w:rPr>
          <w:b/>
        </w:rPr>
        <w:t>E. 10.1</w:t>
      </w:r>
    </w:p>
    <w:p>
      <w:r>
        <w:t>En l'espèce l'intéressé a été mis au bénéfice d'une rente entière à compter du 1er septembre 1995 par décision de l'OAI-VD du 6 février 1996 essentiellement en raison de graves problèmes cardiologiques avec récidives et complications sans étiologie définie sur lesquels se sont greffés des problèmes ostéoarticulaires au niveau de la colonne cervicale qui débouchèrent sur l'ablation de l'uncarthrose bilatérale C6-C7 avec spondylodèse. Ce status a fondé à juste titre le droit pour l'assuré à une rente entière. En 1999 le droit à une rente entière a été confirmé sur la base d'une procédure de révision qui s'est fondée sur des rapports médicaux portugais ayant relevé un status sans changement, lequel a été confirmé par l'OAIE.</w:t>
      </w:r>
    </w:p>
    <w:p>
      <w:r>
        <w:rPr>
          <w:b/>
        </w:rPr>
        <w:t>E. 10.2</w:t>
      </w:r>
    </w:p>
    <w:p>
      <w:r>
        <w:t>A l'occasion de la révision initiée fin 2003 une importante documentation médicale, dont notamment le rapport médical du Centre médical X du 24 mars 2006, ont permis de clarifier un status ostéoarticulaire en grande partie superposable à celui de 1996 notamment du point de vue radiologique étant admis qu'une nette amélioration ne saurait être reconnue. Les experts ont retenu au niveau clinique que l'intéressé avait une gestuelle normale, était à l'aise dans ses déplacements, pouvait maintenir la position assise, pouvait se déshabiller sans problème, avait une bonne musculature, pouvait effectuer des ports de charges jusqu'à 10-15 kg et était donc en mesure d'exercer une activité permettant des positions alternées sous réserve d'éviter les positions accroupies et à genoux et l'utilisation d'échelles. Au plan rhumatologique le Tribunal de céans partage l'avis de la Dresse D._______ selon lequel l'examen clinique ostéoarticulaire permet de conclure à la possibilité d'activités adaptées. Compte tenu de l'opération cervicale pratiquée en 1995, il sied d'admettre que le status de l'intéressé était compatible avec l'exercice d'une activité légère en 1996 comme en 2005. Cette appréciation n'est toutefois pas déterminante pour la résolution du présent litige car par rapport à 1996 il appert une nette amélioration sur le plan cardiopathique. La décision d'octroi de rente de 1996 s'est en effet essentiellement fondée sur des épisodes de péricardite dont la dernière avec pleurésie et un syndrome inflammatoire biologique important dans un contexte de précordialgie ayant abouti à une péricardectomie antérieure. Le status était à ce niveau totalement invalidant. En 2005 et 2006 les rapports E 213 et le rapport du Centre médical X relevèrent un status pulmonaire sans particularité, un status cardiovasculaire dans la norme avec un discret épanchement péricardique. Commentant la documentation médicale portugaise, la Dresse D._______ nota que les examens coronarographiques et echocardiaques avaient montré l'absence d'atteinte des coronaires et une fonction cardiaque conservée. Elle releva des plaintes de dyspnée d'effort telles que relevées par le Dr C._______ mais nota que l'échocardiographie ne montrait aucune lésion et une fonction systolique conservée. Les experts du Centre médical X notèrent uniquement sur le plan cardiovasculaire une exacerbation des douleurs thoraciques à l'effort ne limitant pas l'intéressé dans une activité professionnelle sans efforts soutenus. Le Tribunal de céans, vu également le fait que l'intéressé ne présente pas de problème psychiatrique, peut dès lors confirmer l'appréciation de l'OAIE ayant retenu une amélioration significative de l'état de santé de l'intéressé entre 1996 et 2005 au plus tard.</w:t>
      </w:r>
    </w:p>
    <w:p>
      <w:r>
        <w:rPr>
          <w:b/>
        </w:rPr>
        <w:t>E. 10.3</w:t>
      </w:r>
    </w:p>
    <w:p>
      <w:r>
        <w:t>Au vu du caractère fouillé et complet du rapport du Centre médical X, que le rapport du Dr C._______ ne saurait mettre en doute par les plaintes subjectives énoncées non objectivées à l'examen du Centre médical X, il y a lieu de relever par anticipation d'appréciation de preuve (cf. supra consid. 7.2) que d'autres expertises complémentaires ne sont pas nécessaires. Reste à examiner quelle est la perte de gain subie par l'intéressé du fait de son invalidité.</w:t>
      </w:r>
    </w:p>
    <w:p>
      <w:r>
        <w:rPr>
          <w:b/>
        </w:rPr>
        <w:t>E. 11.1</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La comparaison de revenus doit s'effectuer sur le même marché du travail (ATF 110 V 273 consid. 4b; arrêt du Tribunal fédéral I 222/05 du 13 octobre 2005 consid. 6.1).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11.2</w:t>
      </w:r>
    </w:p>
    <w:p>
      <w:r>
        <w:t>En l'espèce l'OAIE a procédé à une évaluation de l'invalidité selon la méthode générale par une comparaison de revenus entre le salaire annuel de l'intéressé valeur 1994 indexé 2004 (la suppression de la rente intervenant en 2005), soit Fr. 6'070.-, avec un revenu théorique 2004 pour des activités de substitution simples, répétitives et légères dans les services collectifs, le commerce de détail et la réparation d'articles ménagers, soit en moyenne pour 40h./sem. Fr. 4'231.- et pour 41.6 h./sem., usuelles dans ces branches, Fr. 4'400.- sous déduction de 5% pour tenir compte des limitations personnelles de l'intéressé, soit Fr. 4'180.- déterminant une perte de gain de 31.13%.</w:t>
      </w:r>
    </w:p>
    <w:p>
      <w:r>
        <w:rPr>
          <w:b/>
        </w:rPr>
        <w:t>E. 11.3</w:t>
      </w:r>
    </w:p>
    <w:p>
      <w:r>
        <w:t>Il appert toutefois des remarques de l'intéressé quant aux activités de substitution proposées par la Dresse D._______ qu'il y a lieu de prendre pour comparaison des activités plus étendues des secteurs notamment de la production, de l'industrie manufacturière, du commerce, de la réparation, des services, etc., plus généralement les activités élargies selon la Tabelle TA1 de l'Enquête suisse sur les salaires 2004. Il est certain qu'au nombre de celles-ci des activités adaptées à l'état de santé de l'intéressé, simples, répétitives et de nature sédentaire, permettant une alternance de positions, sont nombreuses. Selon la Tabelle TA1 il y a lieu de retenir le revenu de Fr. 4'588.- pour 40 h./sem. et, pour 41.6 h./sem., de Fr. 4'771.50, sous déduction, non pas de 5% mais de 15%, de l'avis du Tribunal de céans, pour tenir compte de façon plus appropriée des limitations personnelles, pour raison d'âge et de limitation à des travaux légers sédentaires de l'assuré, alors âgé en 2005 de 47 ans, soit Fr. 4'055.80, déterminant une perte de gain de 33.18%. Or ce taux n'ouvre plus le droit à une rente.</w:t>
      </w:r>
    </w:p>
    <w:p>
      <w:r>
        <w:rPr>
          <w:b/>
        </w:rPr>
        <w:t>E. 12</w:t>
      </w:r>
    </w:p>
    <w:p>
      <w:r>
        <w:t>C'est donc à juste titre que l'Office intimé a supprimé le droit à la rente de l'assuré avec effet au 1er mars 2005, par décision du 17 janvier 2005 (art. 88bis al. 2 let. a RAI) confirmée par sa décision sur opposition du 19 juin 2007. Par voie de conséquence, le recours doit être rejeté et la décision du 19 juin 2007 confirmée.</w:t>
      </w:r>
    </w:p>
    <w:p>
      <w:r>
        <w:rPr>
          <w:b/>
        </w:rPr>
        <w:t>E. 13</w:t>
      </w:r>
    </w:p>
    <w:p>
      <w:r>
        <w:t>Il n'est pas perçu de frais de procédure. L'intéressé ayant été débouté, il n'est pas alloué de dépens (art. 64 al. 1 PA en relation avec les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