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C-4696/2019 vom 22. Juli 2019</w:t>
      </w:r>
    </w:p>
    <w:p>
      <w:r>
        <w:t>Bundesverwaltungsgericht, 2019-07-22, DE</w:t>
      </w:r>
    </w:p>
    <w:p>
      <w:r>
        <w:rPr>
          <w:b/>
        </w:rPr>
        <w:t xml:space="preserve">Quelle: </w:t>
      </w:r>
      <w:r>
        <w:t>https://mcp.opencaselaw.ch/entscheid/bvger_C-4696_2019_d20190722</w:t>
      </w:r>
    </w:p>
    <w:p>
      <w:r>
        <w:t>FR: TAF C-4696/2019 du 22 juillet 2019</w:t>
      </w:r>
    </w:p>
    <w:p>
      <w:r>
        <w:t>IT: TAF C-4696/2019 del 22 luglio 2019</w:t>
      </w:r>
    </w:p>
    <w:p>
      <w:pPr>
        <w:pStyle w:val="Heading2"/>
      </w:pPr>
      <w:r>
        <w:t>Regeste</w:t>
      </w:r>
    </w:p>
    <w:p>
      <w:r>
        <w:t>Heilmittel (&amp;Uuml;briges) | Heilmittel (Übriges); Änderung der Abgabekategorie von C in B des Arzneimittels B._______; Verfügung vom 22. Juli 2019</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Der geleistete Kostenvorschuss von Fr. 5'000.- wird nach Rechtskraft des vorliegenden Entscheides auf ein von der Beschwerdeführerin zu bezeichnendes Konto zurückerstattet.</w:t>
      </w:r>
    </w:p>
    <w:p>
      <w:r>
        <w:rPr>
          <w:b/>
        </w:rPr>
        <w:t>E. 3</w:t>
      </w:r>
    </w:p>
    <w:p>
      <w:r>
        <w:t>Es wird keine Parteientschädigung zugesprochen.</w:t>
      </w:r>
    </w:p>
    <w:p>
      <w:r>
        <w:rPr>
          <w:b/>
        </w:rPr>
        <w:t>E. 4</w:t>
      </w:r>
    </w:p>
    <w:p>
      <w:r>
        <w:t>Dieser Entscheid geht an die Beschwerdeführerin, die Vorinstanz und das EDI. Für die Rechtsmittelbelehrung wird auf die nächste Seite verwiesen.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