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C-4668/2018 vom 23. Juni 2020</w:t>
      </w:r>
    </w:p>
    <w:p>
      <w:r>
        <w:t>Bundesverwaltungsgericht, 2020-06-23, DE</w:t>
      </w:r>
    </w:p>
    <w:p>
      <w:r>
        <w:rPr>
          <w:b/>
        </w:rPr>
        <w:t xml:space="preserve">Quelle: </w:t>
      </w:r>
      <w:r>
        <w:t>https://mcp.opencaselaw.ch/entscheid/bvger_C-4668_2018</w:t>
      </w:r>
    </w:p>
    <w:p>
      <w:r>
        <w:t>FR: TAF C-4668/2018 du 23 juin 2020</w:t>
      </w:r>
    </w:p>
    <w:p>
      <w:r>
        <w:t>IT: TAF C-4668/2018 del 23 giugno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Somit ist auf die frist- und formgerecht eingereichte Beschwerde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13. Juni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3.6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3.7</w:t>
      </w:r>
    </w:p>
    <w:p>
      <w:r>
        <w:t>Durch BGE 145 V 215 wurde die frühere, bei Erlass der angefochtenen Verfügung vom 13. Juni 2018 noch geltende Rechtsprechung, wonach primäre Abhängigkeitssyndrome bzw. Substanzkonsumstörungen zum vornherein keine invalidenversicherungsrechtlich relevanten Gesundheitsschäden darstellen können, und ihre funktionellen Auswirkungen deshalb keiner näheren Abklärung bedürfen, fallengelassen.</w:t>
      </w:r>
    </w:p>
    <w:p>
      <w:r>
        <w:rPr>
          <w:b/>
        </w:rPr>
        <w:t>E. 3.8</w:t>
      </w:r>
    </w:p>
    <w:p>
      <w:r>
        <w:t>Nach BGE 145 V 215 E. 6 f. ist fortan - gleich wie bei allen anderen psychischen Erkrankungen - nach dem strukturierten Beweisverfahren zu ermitteln, ob und gegebenenfalls inwieweit sich ein fachärztlich diagnostiziertes Abhängigkeitssyndrom im Einzelfall auf die Arbeitsfähigkeit der versicherten Person auswirkt.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E. 4.5.2). Eine krankheitswertige Störung muss umso ausgeprägter vorhanden sein, je stärker psychosoziale oder soziokulturelle Faktoren das Beschwerdebild mitprägen (BGE 127 V 294 E. 5a). Zu beachten ist, dass auch bei Abhängigkeitssyndromen - nicht anders als bei den meisten Erkrankungen (BGE 140 V 193 E. 3.1) - kein direkter Zusammenhang besteht zwischen Diagnose und Arbeits(un)fähigkeit bzw. Invalidität. Vielmehr sind die Auswirkungen des bestehenden Gesundheitsschadens auf die funktionelle Leistungsfähigkeit im Einzelfall für die Rechtsanwendenden nachvollziehbar ärztlich festzustellen (Art. 7 Abs. 2 ATSG; BGE 145 V 215 E. 6 f.).</w:t>
      </w:r>
    </w:p>
    <w:p>
      <w:r>
        <w:rPr>
          <w:b/>
        </w:rPr>
        <w:t>E. 3.9</w:t>
      </w:r>
    </w:p>
    <w:p>
      <w:r>
        <w:t>Aus Gründen der Verhältnismässigkeit kann von einem strukturierten Beweisverfahren abgesehen werden, wo es nicht nötig oder auch gar nicht geeignet ist. Die Frage der Notwendigkeit in diesem Sinne beurteilt sich nach dem konkreten Beweisbedarf (BGE 143 V 418 E. 7.1; BGE 145 V 215 E. 4.3).</w:t>
      </w:r>
    </w:p>
    <w:p>
      <w:r>
        <w:rPr>
          <w:b/>
        </w:rPr>
        <w:t>E. 4</w:t>
      </w:r>
    </w:p>
    <w:p>
      <w:r>
        <w:t>Anfechtungsobjekt und damit Begrenzung des Streitgegenstandes des vorliegenden Beschwerdeverfahrens (vgl. BGE 131 V 164 E. 2.1) bildet die Verfügung vom 13. Juni 2018 (act. 173). Streitig und vom Bundesverwaltungsgericht zu prüfen ist der Anspruch des Beschwerdeführers auf eine schweizerische Invalidenrente mit Wirkung ab 1. November 2013.</w:t>
      </w:r>
    </w:p>
    <w:p>
      <w:r>
        <w:rPr>
          <w:b/>
        </w:rPr>
        <w:t>E. 4.1</w:t>
      </w:r>
    </w:p>
    <w:p>
      <w:r>
        <w:t>Der RAD-Psychiater prüfte im laufenden Beschwerdeverfahren mit ausführlicher Stellungnahme vom 26. September 2019 die Standardindikatoren (BVGer act. 20, Beilage).</w:t>
      </w:r>
    </w:p>
    <w:p>
      <w:r>
        <w:rPr>
          <w:b/>
        </w:rPr>
        <w:t>E. 4.1.1</w:t>
      </w:r>
    </w:p>
    <w:p>
      <w:r>
        <w:t>Zu den Ausschlusskriterien führte RAD-Psychiater einleitend Folgendes aus: «Es liegen keine Ausschlusskriterien vor. Die Diagnosen im ZMB-Gutachten wurden nach ICD-10 hergeleitet, es liegt keine Aggravation und Simulation vor. Eine psychiatrische Behandlung wurde über Jahre durchgeführt und die Kooperation hierbei war gegeben» (Seite 2).</w:t>
      </w:r>
    </w:p>
    <w:p>
      <w:r>
        <w:rPr>
          <w:b/>
        </w:rPr>
        <w:t>E. 4.1.2</w:t>
      </w:r>
    </w:p>
    <w:p>
      <w:r>
        <w:t>Zum Komplex Gesundheitsschädigung führte der RAD-Psychiater unter anderem Folgendes aus: «Die im ZMB-Gutachten auf Seite 27 aufgeführten psychopathologischen Befunde sind leicht bis mittelgradig ausgeprägt, wobei die versicherte Person anamnestisch auch stärker ausgeprägte Beschwerden berichtet. (...). In der Summe dieser Störungen kann von einer schweren psychiatrischen Störung im Sinne eines Zusammenwirkens mehrerer einzelner, aber untereinander in starker Wechselwirkung stehender Komorbiditäten ausgegangen werden. Dies ist auch in Bezug zur Alkoholerkrankung zu sagen, die sich hochwahrscheinlich sekundär als Folge der akzentuierten emotional-instabilen Persönlichkeitszüge und der Panikstörung im Sinne eines maladaptiven Selbstheilungsversuchs entwickelte. Die Alkoholabhängigkeit ist also ein zusätzlicher die Ressourcen einschränkender Faktor. Zu erwähnen ist, dass kein permanenter Alkoholkonsum besteht, sondern ein episodischer Überkonsum. (...). Die Panik-attacken führten dazu, dass er seine angestammte Tätigkeit als Camionchauffeur nicht mehr ausüben konnte. Diese Tätigkeit war insofern angepasst, da sie alleine ausgeübt werden kann und die versicherte Person durch das Fahrzeug eine gewisse Position markieren konnte. Die internistischen Begleiterkrankungen, insbesondere die Adipositas und das metabolische Syndrom inklusive des Schlafapnoesyndroms, sind Faktoren, die auf die psychischen Funktionen generell einen eher hemmenden Einfluss haben, da diese den Antrieb und die Durchhaltefähigkeit durch mangelnde körperliche Fitness zusätzlich unspezifisch hemmen. (...). Es liegen keine IV-fremden Faktoren vor, die für sich genommen die psychopathologischen Phänomene erklären würden. (...). Eine (Diskrepanz zwischen Schmerzschilderung und gezeigtem Verhalten) wird weder im rheumatologischen oder psychiatrischen oder allgemeinmedizinischen Teil des ZMB-Gutachtens beschrieben. (...)» (Seite 2 f.).</w:t>
      </w:r>
    </w:p>
    <w:p>
      <w:r>
        <w:rPr>
          <w:b/>
        </w:rPr>
        <w:t>E. 4.1.3</w:t>
      </w:r>
    </w:p>
    <w:p>
      <w:r>
        <w:t>Zum Komplex Persönlichkeit führte der RAD-Psychiater unter anderem Folgendes aus: «Laut dem fachpsychiatrischen ZMB-Teilgutachten zeigt sich eine einfach strukturierte Persönlichkeit mit oben genannter Akzentuierung. Die Selbst- und Fremdwahrnehmung zeigt sich primär nicht auffällig. Die versicherte Person konnte sein impulsives Verhalten reflektieren. Allerdings sieht er sich überwiegend in der Opferrolle, was biographisch zu erklären ist (...). Die Realitätsprüfung und Urteilsbildung kann, wie sich in der Vergangenheit (...) zeigte, im Rahmen der Störung der Affektsteuerung und Impulskontrolle situativ beeinträchtigt sein. Die Intentionalität und Antrieb sind im Rahmen der depressiven Störung, der Alkoholabhängigkeit und der internistischen Begleiterkrankung gestört. (...). Es zeigen sich insgesamt wenig Ressourcen. Das soziale Netz ist klein (...). Der Tagesablauf zeigt wenig Varianz und Interessen und ist bestimmt durch basale Bedürfnisse. (...). Die mentale Umstellungsfähigkeit ist in diesem Zusammenhang eher als gering zu bewerten. (...)» (Seite 3 f.).</w:t>
      </w:r>
    </w:p>
    <w:p>
      <w:r>
        <w:rPr>
          <w:b/>
        </w:rPr>
        <w:t>E. 4.1.4</w:t>
      </w:r>
    </w:p>
    <w:p>
      <w:r>
        <w:t>Der RAD-Psychiater kam nach der Prüfung der Standardindikatoren zum Schluss, dass aufgrund fehlender Ressourcen der versicherten Person eine volle Arbeitsunfähigkeit in alternativer Tätigkeit resultiert (BVGer act. 20, Beilage; vgl. zum Komplex berufliche Eingliederung und zur Beurteilung durch den RAD-Psychiater die Sachverhaltserwägung D.j hiervor).</w:t>
      </w:r>
    </w:p>
    <w:p>
      <w:r>
        <w:rPr>
          <w:b/>
        </w:rPr>
        <w:t>E. 4.2</w:t>
      </w:r>
    </w:p>
    <w:p>
      <w:r>
        <w:t>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w:t>
      </w:r>
    </w:p>
    <w:p>
      <w:r>
        <w:rPr>
          <w:b/>
        </w:rPr>
        <w:t>E. 4.3</w:t>
      </w:r>
    </w:p>
    <w:p>
      <w:r>
        <w:t>Nachdem sich der RAD-Psychiater lediglich aufgrund eines Teils der medizinischen Akte (ZMB-Gutachten und Eingliederungsbericht) zum vorliegenden Fall geäussert hat, ist auf seine Stellungnahme vom 26. September 2019 nur mit sehr grosser Zurückhaltung abzustellen. Dem ZMB-Gutachten und dem Zusatzgutachten wurde mit Urteil des Bundesverwaltungsgerichts C-5021/2015 Beweiskraft beigemessen. Die entsprechenden Gutachten halten auch stand vor der Indikatorenprüfung (schlüssige Angaben zu einer lege artis Diagnostizierung, zu den Auswirkungen der Gesundheitsschädigung sowie zur Persönlichkeit und den allenfalls vorhandenen Ressourcen) mit Ausnahme jedoch der Alkoholsuchtproblematik. Aus dem Blickwinkel der neuen Rechtsprechung zur Alkoholsucht sind das ZMB-Gutachten, das Zusatzgutachten sowie der RAD-Bericht vom 26. September 2019 für die Beurteilung der Standardindikatoren nicht hinreichend aussagekräftig, weil die Alkoholsucht nur knapp erwähnt ist und sie nicht medizinisch diskutiert wird. Jedoch ist von einer Rückweisung an die Vorinstanz für weitere Abklärungen abzusehen, weil klar aus dem Eingliederungsbericht hervorgeht, dass der Beschwerdeführer nicht mehr in der Lage ist, seine Restarbeitsfähigkeit zu verwerten und deshalb das Einholen weiterer Beweise als nicht nötig erscheint.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 Damit hat der Beschwerdeführer im Ergebnis mit Wirkung ab 1. November 2013 Anspruch auf eine ganze Invalidenrente, was unter den Parteien mittlerweile unbestritten ist (BVGer act. 11, 20).</w:t>
      </w:r>
    </w:p>
    <w:p>
      <w:r>
        <w:rPr>
          <w:b/>
        </w:rPr>
        <w:t>E. 5</w:t>
      </w:r>
    </w:p>
    <w:p>
      <w:r>
        <w:t>Zusammenfassend ist festzuhalten, dass der Beschwerdeführer mit Wirkung ab 1. November 2013 Anspruch auf eine ganze Invalidenrente hat. Die Beschwerde ist gutzuheissen.</w:t>
      </w:r>
    </w:p>
    <w:p>
      <w:r>
        <w:rPr>
          <w:b/>
        </w:rPr>
        <w:t>E. 6.1</w:t>
      </w:r>
    </w:p>
    <w:p>
      <w:r>
        <w:t>Das Bundesverwaltungsgericht auferlegt gemäss Art. 63 Abs. 1 VwVG die Verfahrenskosten in der Regel der unterliegenden Partei. Da der Vor-instanz keine Verfahrenskosten auferlegt werden (Art. 63 Abs. 2 VwVG), sind im vorliegenden Fall keine Verfahrenskosten zu erheben. Dem Beschwerdeführer ist kein Kostenvorschuss zurückzuerstatten.</w:t>
      </w:r>
    </w:p>
    <w:p>
      <w:r>
        <w:rPr>
          <w:b/>
        </w:rPr>
        <w:t>E. 6.2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Der Rechtsvertreter legte mit abschliessender Eingabe vom 22. Oktober 2019 eine Kostennote über Fr. 6'174.85 vor (BVGer act. 22, Beilage). Der geltend gemachte Betrag erscheint für das vorliegende Beschwerdeverfahren, dass für den Rechtsvertreter keine besonderen Fragen aufwarf und mit durchschnittlichem Aufwand erledigt werden konnte, indessen als zu hoch, zumal sich der Rechtsvertreter mit der Replik vom 3. Dezember 2018 und den weiteren Eingaben vom 19. September 2018, 9. September 2019 und 22. Oktober 2019 kurz fasste bzw. kurz fassen konnte (BVGer act. 8, 11, 17, 22). Aufwandmindernd kommt hinzu, dass Advokat Sebastian Laubscher den Beschwerdeführer bereits im ersten Beschwerdeverfahren C-5021/2015 vor dem Bundesverwaltungsgericht (act. 109) und danach im anschliessenden Verfahren vor der Vorinstanz vertrat. Somit kann vorausgesetzt werden, dass der Rechtsvertreter schon weitgehende Kenntnisse der massgeblichen Akten hatte, als er gegen die Verfügung der IVSTA vom 13. Juni 2018 Beschwerde erhob (BVGer act. 1).</w:t>
      </w:r>
    </w:p>
    <w:p>
      <w:r>
        <w:rPr>
          <w:b/>
        </w:rPr>
        <w:t>E. 6.3</w:t>
      </w:r>
    </w:p>
    <w:p>
      <w:r>
        <w:t>Dem Gericht steht bei der Festsetzung der Parteientschädigung ein weites Ermessen zu (Urteil des BGer 9C_637/2013 vom 13.12.2013 E. 5.2; 8C_928/2012 vom 26.4.2013 E. 6). So ist namentlich nicht der geltend gemachte, sondern nur der notwendige Aufwand zu entschädigen (Urteil des BGer 8C_426/2018 vom 10.8.2018 E. 5.3 m.H). Das Abstellen auf die den jeweiligen Zeitaufwand detailliert ausweisende Honorarnote eines Rechtsvertreters erscheint grundsätzlich als sachgerecht (Urteil des BGer 9C_ 162/2013 vom 8.8.2013 E. 4.3.2). Werden einzelne Posten der Honorarnote akzeptiert, andere hingegen herabgesetzt, ist jede Reduktion zumindest kurz zu begründen (BGE 141 I 70 E. 5.2 m.H.; 8C_833/2015 vom 10.3.2016 E. 4.2). Der Schwierigkeitsgrad der Sache im Vergleich zu ähnlich gelagerten Fällen ist ebenso beachtlich (Urteil des BGer 8C_717/2014 vom 30.11.2015 E. 6.5; 9C_637/2013 vom 13.12.2013 E. 5.3) wie Synergieeffekte aus der Vertretung durch denselben Anwalt bereits im Verwaltungsverfahren (Urteil des BGer 9C_637/2013 vom 13.12.2013 E. 5.3; 8C_723/2009 vom 14.1.2010 E. 4.3; einschränkend aber: 9C_138/2010 vom 12.5.2010 E. 4.3.2.1.1).</w:t>
      </w:r>
    </w:p>
    <w:p>
      <w:r>
        <w:rPr>
          <w:b/>
        </w:rPr>
        <w:t>E. 6.4</w:t>
      </w:r>
    </w:p>
    <w:p>
      <w:r>
        <w:t>Im Zusammenhang mit der Honorarnote vom 22. Oktober 2019 (BVGer act. 22, Beilage) ist Folgendes festzuhalten:</w:t>
      </w:r>
    </w:p>
    <w:p>
      <w:r>
        <w:rPr>
          <w:b/>
        </w:rPr>
        <w:t>E. 6.4.1</w:t>
      </w:r>
    </w:p>
    <w:p>
      <w:r>
        <w:t>Die Beschwerdeschrift umfasst 5 Seiten, wobei aussichtslose vorsorgliche Massnahmen beantragt worden sind. Sie ist zudem grosszügig formatiert (vgl. Urteil des BGer I 463/06 vom 23.4.2007 E. 8.4). Daher erfolgt eine Kürzung von 5.5 auf 3 Stunden. Die Replik umfasst nur zwei Seiten mit Unterschrift auf der dritten Seite, weshalb eine Kürzung von 2.5 auf 1 Stunde erfolgt.</w:t>
      </w:r>
    </w:p>
    <w:p>
      <w:r>
        <w:rPr>
          <w:b/>
        </w:rPr>
        <w:t>E. 6.4.2</w:t>
      </w:r>
    </w:p>
    <w:p>
      <w:r>
        <w:t>Am 10. April 2019 wurde eine Besprechung mit dem Klienten (2.5 Stunden) durchgeführt und am 6. September 2019 eine mit der behandelnden Psychiaterin (1.5 Stunden). Aus der kurzen Stellungnahme vom 9. September 2019 wird nicht ersichtlich, weshalb ein Besprechungsaufwand von insgesamt 4 Stunden notwendig gewesen ist (BVGer act. 17). Der Zeitaufwand für die Besprechung mit dem Klienten ist zu streichen und jener für die Besprechung mit der Psychiaterin auf eine halbe Stunde zu reduzieren. Damit ist der Aufwand für das Einholen des ärztlichen Verlaufsberichts durch den Rechtsvertreter im IV-Beschwerdeverfahren angemessen abgegolten (vgl. Urteil des BGer 8C_723/2009 vom 14.1.2010 E. 4.3 in fine).</w:t>
      </w:r>
    </w:p>
    <w:p>
      <w:r>
        <w:rPr>
          <w:b/>
        </w:rPr>
        <w:t>E. 6.4.3</w:t>
      </w:r>
    </w:p>
    <w:p>
      <w:r>
        <w:t>Auch der Zeitaufwand von 1.25 Stunden für die «Dabkl. Wg. Verfügung, Tel. Psych D._______, Tel. Kl.» vom 19. Juli 2018 ist zu streichen. Zudem ist der Zeitaufwand von 1.5 Stunden für die «Bespr. mit Kl. c/o Psych.» vom 5. März 2019 zu streichen. Aus den Vorakten und den Eingaben wird nicht ersichtlich, weshalb weitere Besprechungen mit der Psychiaterin und dem Beschwerdeführer für das vorliegende Verfahren geboten gewesen sind.</w:t>
      </w:r>
    </w:p>
    <w:p>
      <w:r>
        <w:rPr>
          <w:b/>
        </w:rPr>
        <w:t>E. 6.4.4</w:t>
      </w:r>
    </w:p>
    <w:p>
      <w:r>
        <w:t>Weiter ist unklar, weshalb am 30. November 2018 eine hundertminütige Abklärung erforderlich war. Eine weitere Streichung ist jedoch nicht vorzunehmen: Die lange Verfahrensdauer löste Nachfragen des Rechtsvertreters nach dem Verfahrensstand aus, deren zeitlicher Aufwand in der Honorarnote vom 22. Oktober 2019 nicht enthalten ist. Zudem ist zu berücksichtigen, dass für die Nachbesprechung des Anwalts mit seinem Klienten (nach Erhalt des Urteils) praxisgemäss eine Stunde Aufwand angerechnet wird. Der Aufwand für die hundertminütige Abklärung wird daher - wie die weiteren Leistungspositionen auch - anerkannt.</w:t>
      </w:r>
    </w:p>
    <w:p>
      <w:r>
        <w:rPr>
          <w:b/>
        </w:rPr>
        <w:t>E. 6.5</w:t>
      </w:r>
    </w:p>
    <w:p>
      <w:r>
        <w:t>Der geltend gemachte Gesamtaufwand von 20.75 Stunden ist demnach um 10.25 auf 10.50 Stunden zu reduzieren. Als Stundenansatz ist von Fr. 250.- statt Fr. 270.- auszugehen, womit ein Honorar von Fr. 2'625.- resultiert. Für Kopien können sodann nur 50 Rappen und nicht Fr. 2.- pro Seite berücksichtigt werden (Fr. 27.50 statt Fr. 110.-; Art. 11 Abs. 4 VGKE). Inklusive der Auslagen, aber ohne Mehrwertsteuer, resultiert eine Parteientschädigung von Fr. 2'673.40 (vgl. zur Mehrwertsteuer auch das Urteil des Bundesverwaltungsgerichts C-6173/2009 vom 29. August 2011 mit Hinweis; Art. 9 Abs. 1 in Verbindung mit Art. 10 Abs. 2 VGKE). Die Parteientschädigung ist von der Vorinstanz nach Eintritt der Rechtskraft des vorliegenden Urteils zu leisten.</w:t>
      </w:r>
    </w:p>
    <w:p>
      <w:r>
        <w:rPr>
          <w:b/>
        </w:rPr>
        <w:t>E. 6.6</w:t>
      </w:r>
    </w:p>
    <w:p>
      <w:r>
        <w:t>Der (vierte) Antrag in der Beschwerde (BVGer act. 1), «es sei dem Beschwerdeführer für das Beschwerdeverfahren die unentgeltliche Prozessführung und Verbeiständung mit dem Unterzeichnenden zu gewähren und es sei demgemäss auf die Erhebung eines Gerichtskostenvorschusses zu verzichten», erweist sich in Anbetracht des Verfahrensausgangs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