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C-4660/2024 vom 27. November 2023</w:t>
      </w:r>
    </w:p>
    <w:p>
      <w:r>
        <w:t>Bundesverwaltungsgericht, 2023-11-27, DE</w:t>
      </w:r>
    </w:p>
    <w:p>
      <w:r>
        <w:rPr>
          <w:b/>
        </w:rPr>
        <w:t xml:space="preserve">Quelle: </w:t>
      </w:r>
      <w:r>
        <w:t>https://mcp.opencaselaw.ch/entscheid/bvger_C-4660_2024_d20231127</w:t>
      </w:r>
    </w:p>
    <w:p>
      <w:r>
        <w:t>FR: TAF C-4660/2024 du 27 novembre 2023</w:t>
      </w:r>
    </w:p>
    <w:p>
      <w:r>
        <w:t>IT: TAF C-4660/2024 del 27 novembre 2023</w:t>
      </w:r>
    </w:p>
    <w:p>
      <w:pPr>
        <w:pStyle w:val="Heading2"/>
      </w:pPr>
      <w:r>
        <w:t>Regeste</w:t>
      </w:r>
    </w:p>
    <w:p>
      <w:r>
        <w:t>Markt&amp;uuml;berwachung | Marktüberwachung, Einziehung und Vernichtung von Dopingmitteln; Verfügung der Stiftung Swiss Sport Integrity vom 27. November 2023.</w:t>
      </w:r>
    </w:p>
    <w:p>
      <w:pPr>
        <w:pStyle w:val="Heading2"/>
      </w:pPr>
      <w:r>
        <w:t>Erwägungen</w:t>
      </w:r>
    </w:p>
    <w:p>
      <w:r>
        <w:rPr>
          <w:b/>
        </w:rPr>
        <w:t>E. 1</w:t>
      </w:r>
    </w:p>
    <w:p>
      <w:r>
        <w:t>Auf die Eingabe von A._______ vom 9. Januar 2024 wird nicht eingetreten.</w:t>
      </w:r>
    </w:p>
    <w:p>
      <w:r>
        <w:rPr>
          <w:b/>
        </w:rPr>
        <w:t>E. 2</w:t>
      </w:r>
    </w:p>
    <w:p>
      <w:r>
        <w:t>Die Akten werden an die Vorinstanz zur weiteren Veranlassung im Sinne der Erwägungen überwiesen.</w:t>
      </w:r>
    </w:p>
    <w:p>
      <w:r>
        <w:rPr>
          <w:b/>
        </w:rPr>
        <w:t>E. 3</w:t>
      </w:r>
    </w:p>
    <w:p>
      <w:r>
        <w:t>Es werden keine Verfahrenskosten erhoben.</w:t>
      </w:r>
    </w:p>
    <w:p>
      <w:r>
        <w:rPr>
          <w:b/>
        </w:rPr>
        <w:t>E. 4</w:t>
      </w:r>
    </w:p>
    <w:p>
      <w:r>
        <w:t>Es wird keine Parteientschädigung ausgerichtet.</w:t>
      </w:r>
    </w:p>
    <w:p>
      <w:r>
        <w:rPr>
          <w:b/>
        </w:rPr>
        <w:t>E. 5</w:t>
      </w:r>
    </w:p>
    <w:p>
      <w:r>
        <w:t>Dieses Urteil geht an die Beschwerdeführerin, die Vorinstanz und das VBS.</w:t>
      </w:r>
    </w:p>
    <w:p>
      <w:r>
        <w:t>Für die Rechtsmittelbelehrung wird auf die nächste Seite verwiesen.</w:t>
      </w:r>
    </w:p>
    <w:p>
      <w:r>
        <w:t>Die Einzelrichterin: Die Gerichtsschreiberin:</w:t>
      </w:r>
    </w:p>
    <w:p>
      <w:r>
        <w:t>Viktoria Helfenstein Patrizia Levante</w:t>
      </w:r>
    </w:p>
    <w:p>
      <w:r>
        <w:t>C-4660/2024 Seite 7 Rechtsmittelbelehrung: Gegen diesen Entscheid kann innert 30 Tagen nach Eröffnung beim Bun- desgericht, 1000 Lausanne 14, Beschwerde in öffentlich-rechtlichen Ange- legenheiten geführt werden (Art. 82 ff., 90 ff. und 100 BGG). Die Frist ist gewahrt, wenn die Beschwerde spätestens am letzten Tag der Frist beim Bundesgericht eingereicht oder zu dessen Handen der Schweizerischen Post oder einer schweizerischen diplomatischen oder konsularischen Ver- tretung übergeben worden ist (Art. 48 Abs. 1 BGG). Die Rechtsschrift ist in einer Amtssprache abzufassen und hat die Begehren, deren Begründung mit Angabe der Beweismittel und die Unterschrift zu enthalten. Der ange- fochtene Entscheid und die Beweismittel sind, soweit sie die beschwerde- führende Partei in Händen hat, beizulegen (Art. 42 BGG).</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