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C-4660/2013 vom 28. Mai 2015</w:t>
      </w:r>
    </w:p>
    <w:p>
      <w:r>
        <w:t>Bundesverwaltungsgericht, 2015-05-28, DE</w:t>
      </w:r>
    </w:p>
    <w:p>
      <w:r>
        <w:rPr>
          <w:b/>
        </w:rPr>
        <w:t xml:space="preserve">Quelle: </w:t>
      </w:r>
      <w:r>
        <w:t>https://mcp.opencaselaw.ch/entscheid/bvger_C-4660_2013</w:t>
      </w:r>
    </w:p>
    <w:p>
      <w:r>
        <w:t>FR: TAF C-4660/2013 du 28 mai 2015</w:t>
      </w:r>
    </w:p>
    <w:p>
      <w:r>
        <w:t>IT: TAF C-4660/2013 del 28 maggio 2015</w:t>
      </w:r>
    </w:p>
    <w:p>
      <w:pPr>
        <w:pStyle w:val="Heading2"/>
      </w:pPr>
      <w:r>
        <w:t>Regeste</w:t>
      </w:r>
    </w:p>
    <w:p>
      <w:r>
        <w:t>Verhütung Unfälle und Berufskrankheiten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genannten Behörden. Die sachliche Zuständigkeit des Bundes-verwaltungsgerichts zur Beurteilung von Beschwerden gegen Verfügun-gen der Vollzugsorgane im Bereich der Produktesicherheit ergibt sich aus Art. 15 Abs. 2 PrSG.</w:t>
      </w:r>
    </w:p>
    <w:p>
      <w:r>
        <w:rPr>
          <w:b/>
        </w:rPr>
        <w:t>E. 1.2</w:t>
      </w:r>
    </w:p>
    <w:p>
      <w:r>
        <w:t>Angefochten ist eine Verfügung der bfu, welche gestützt auf das PrSG erlassen wurde. Die bfu ist ein Produktesicherheits-Kontrollorgan (Art. 20 Abs. 1 Bst. b der Verordnung über die Produktesicherheit [PrSV, SR 930.11], Art. 3 und Anhang Bst. h Ziff. 2 der Verordnung des WBF [Departement für Wirtschaft, Bildung und Forschung] vom 18. Juni 2010 über den Vollzug der Marktüberwachung nach dem 5. Abschnitt der Verordnung über die Produktesicherheit [nachfolgend: Verordnung des WBF; SR 930.111.5]) und Vorinstanz im Sinne von Art. 33 Bst. e VGG. Das Bundesverwaltungsgericht ist demnach zur Beurteilung der vorliegenden Beschwerde zuständig.</w:t>
      </w:r>
    </w:p>
    <w:p>
      <w:r>
        <w:rPr>
          <w:b/>
        </w:rPr>
        <w:t>E. 1.3</w:t>
      </w:r>
    </w:p>
    <w:p>
      <w:r>
        <w:t>Das Verfahren vor dem Bundesverwaltungsgericht richtet sich nach dem Verwaltungsverfahrensgesetz, soweit das Verwaltungsgerichts-gesetz nichts anderes bestimmt (Art. 37 VGG; vgl. auch Art. 10 Abs. 6 PrSG und Art. 23 PrSV).</w:t>
      </w:r>
    </w:p>
    <w:p>
      <w:r>
        <w:rPr>
          <w:b/>
        </w:rPr>
        <w:t>E. 1.4</w:t>
      </w:r>
    </w:p>
    <w:p>
      <w:r>
        <w:t>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w:t>
      </w:r>
    </w:p>
    <w:p>
      <w:r>
        <w:rPr>
          <w:b/>
        </w:rPr>
        <w:t>E. 1.5</w:t>
      </w:r>
    </w:p>
    <w:p>
      <w:r>
        <w:t>Die angefochtene Verfügung datiert vom 22. Juli 2013 und wurde am gleichen Tag der Post zum Versand übergeben (Beilage 1 zu BVGer act. 1). Die Beschwerde vom 20. August 2013 erfolgte daher fristgerecht (vgl. dazu Art. 50 Abs. 1 VwVG). Nachdem auch der Kostenvorschuss innert der mit Verfügung vom 7. November 2013 angesetzten Nachfrist eingegangen ist (BVGer act. 14 + 19) und die erhobene Beschwerde den Formerfordernissen (Art. 52 Abs. 1 VwVG) genügt, ist auf diese einzutreten. 2.1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mit Hinweis). 2.2 Zum Streitgegenstand gehören vorliegend - nebst der Androhung der Ersatzvornahme und Busse im Unterlassungsfall sowie der Gebührenauflage - die Feststellung des Mangels beziehungsweise der ungenügenden Sicherung des Doppel-Falttores an den Klemmstellen beziehungsweise das Nichteinhalten der Sicherheitsabstände zwischen Torflügel und Wand, die Verpflichtung zur Durchführung der notwendigen Sicherungsmassnahmen, die Rechtmässigkeit der Einforderung weiterer Beweismittel, das heisst der Steuerungsunterlagen der Toranlage am (...) in (...), des Anschlussschemas der Toranlage in (...), einer gültigen Konformitätserklärung, sowie der Nachweis der Zustellung der gültigen Konformitätserklärung an den Betreiber. 2.3 Nicht Gegenstand des vorliegenden Beschwerdeverfahrens sind die von der Beschwerdeführerin aufgeworfenen Streitpunkte zwischen ihr auf der einen und der Stockwerkeigentümergemeinschaft beziehungsweise dem verantwortlichen Architekturbüro auf der anderen Seite. Nicht zu prüfen ist im Kontroll- und im vorliegenden Beschwerdeverfahren ferner, ob allenfalls ein alternatives Produkt die Sicherheitsvorschriften eingehalten hätte; denn der Kontrolle im Rahmen der Marktüberwachung unterstehen nur Produkte, welche effektiv in Verkehr gebracht worden sind (vgl. dazu Art. 1 Abs. 2, Art. 2 Abs. 3 und Art. 10 Abs. 1 PrSG). Entscheidend ist vielmehr allein, ob das tatsächlich in Verkehr gebrachte Produkt (Doppel-Falttor dw 50-GUP) den grundlegenden Sicherheits- und Gesundheitsvorschriften entspricht. Nicht Gegenstand des vorliegenden Beschwerdeverfahrens ist überdies auch die Rüge der Beschwerdeführerin, wonach die Stockwerkeigentümergemeinschaft ihr noch einen Werklohn für von ihr erbrachte Arbeiten schulde. Das hier zur Diskussion stehende Verwaltungsverfahren bezweckt ausschliesslich die verwaltungsrechtliche Kontrolle der genannten grundlegenden Sicherheits- und Gesundheitsvorschriften. Ob und gegebenenfalls in welchem Umfang der Beschwerdeführerin Werklohnforderungen zustehen, ist nicht im vorliegenden Beschwerdeverfahren, sondern gegebenenfalls auf dem hierfür vorgesehenen Zivilrechtsweg zu prüfen. Auf die genannten Rügen kann demnach hier nicht eingetreten werden. 2.4 Nachfolgend ist deshalb mit Blick auf die von der Beschwerdeführerin erhobenen Rügen zunächst auf die von der Vorinstanz beanstandete Sicherheit (Sicherung des Doppel-Falttores an den Klemmstellen beziehungsweise das Nichteinhalten der Sicherheitsabstände zwischen Torflügel und Wand) und die Frage der Einforderung einer gültigen Konformitätserklärung sowie den Nachweis der Zustellung der gültigen Konformitätserklärung an den Betreiber einzugehen.</w:t>
      </w:r>
    </w:p>
    <w:p>
      <w:r>
        <w:rPr>
          <w:b/>
        </w:rPr>
        <w:t>E. 3</w:t>
      </w:r>
    </w:p>
    <w:p>
      <w:r>
        <w:t>Das neue PrSG hat per 1. Juli 2010 das Bundesgesetz vom 19. März 1976 über die Sicherheit von technischen Einrichtungen und Geräten (aSTEG; [AS 1977 2370, AS 1995 2766, aufgehoben per 1. Juli 2010, AS 2010 2573] i.V.m. Art. 11 ff. der Verordnung vom 12. Juni 1995 über die Sicherheit von technischen Einrichtungen und Geräten [aSTEV], AS 1995 2770, aufgehoben per 1. Juli 2010, AS 2010 2583) abgelöst, weshalb zunächst zu prüfen ist, welches Recht anwendbar ist.</w:t>
      </w:r>
    </w:p>
    <w:p>
      <w:r>
        <w:rPr>
          <w:b/>
        </w:rPr>
        <w:t>E. 3.1</w:t>
      </w:r>
    </w:p>
    <w:p>
      <w:r>
        <w:t>Die angefochtene Verfügung datiert vom 22. Juli 2013, also zeitlich nach dem am 1. Juli 2010 in Kraft getretenen PrSG (und dessen Ausführungsbestimmungen), sodass dieses grundsätzlich anwendbar ist (vgl. dazu auch Art. 20 Abs. 1 PrSG; Urteil des BVGer C-1177/2012 vom 12. Juni 2014 E. 3). Das PrSG regelt allerdings die Frage, welchen Sicherheitsanforderungen ein im Zeitpunkt des Inkrafttretens dieses Gesetzes bereits in Verkehr gebrachtes Produkt zu entsprechen hat, nicht explizit. Mit Bezug auf das anwendbare Recht ist davon auszugehen, dass in zeitlicher Hinsicht grundsätzlich diejenigen Rechtssätze massgebend sind, die bei der Erfüllung des zu Rechtsfolgen führenden Tatbestandes Geltung haben (BGE 132 V 215 E. 3.1.1 S. 220, 127 V 466 E. 1 S. 467). Es steht somit die Anwendung des bisher geltenden Rechts im Raum (vgl. dazu nachstehende E. 3.2).</w:t>
      </w:r>
    </w:p>
    <w:p>
      <w:r>
        <w:rPr>
          <w:b/>
        </w:rPr>
        <w:t>E. 3.2</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591 E. 5e/aa S. 598 mit Hinweisen; Häfelin/Müller/Uhlmann, Allgemeines Verwaltungsrecht, 6. Aufl. 2010, Rz. 325 ff.). Dies gilt insbesondere dann, wenn das alte Recht für den Beschwerdeführenden im Ergebnis milder ist. Verfahrensvorschriften sind zudem grundsätzlich mit dem Tag des Inkrafttretens anwendbar (Häfelin/Müller/Uhlmann, a.a.O., Rz. 327a). Im Laufe des Beschwerde­verfahrens eingetretene Rechtsänderungen sind an sich unbeachtlich, es sei denn, zwingende Gründe sprächen für die sofortige Anwendung des neuen Rechts (Urteil des BVGer C-5911/2008 vom 17. Dezember 2010 E. 6 mit Hinweisen). Soweit strafrechtliche Bestimmungen zur Diskussion stehen, gilt auch für den Bereich des Nebenstrafrechts, das heisst der neben dem StGB bestehenden Bundesgesetze, der Grundsatz des milderen Rechts (lex mitior; Roland Wiprächtiger, in: Basler Kommentar, Strafrecht II, 3. Aufl. 2013, Art. 333 N. 16 StGB).</w:t>
      </w:r>
    </w:p>
    <w:p>
      <w:r>
        <w:rPr>
          <w:b/>
        </w:rPr>
        <w:t>E. 3.3</w:t>
      </w:r>
    </w:p>
    <w:p>
      <w:r>
        <w:t>Im Vergleich zum aSTEG ist der Anwendungsbereich des PrSG weiter und das Schutzniveau höher (siehe Hans-Joachim Hess, Produktesicherheitsgesetz [PrSG], Handkommentar, Bern 2010, Teil 1 N. 76 ff.). Gemäss Art. 21 Abs. 1 PrSG dürfen Produkte, welche die Anforderungen nach bisherigem Recht, jedoch nicht die Anforderungen nach neuem Recht erfüllen, noch bis zum 31. Dezember 2011 in Verkehr gebracht werden. Nach Art. 21 Abs. 2 PrSG muss jeder Hersteller, Importeur oder Händler bis zum 31. Dezember 2011 die Voraussetzungen schaffen, die zur Umsetzung von Art. 8 PrSG notwendig sind. Mit Inkrafttreten des PrSG per 1. Juli 2010 wurde das aSTEG aufgehoben (Art. 20 Abs. 1 PrSG). Aus Art. 21 Abs. 1 und Abs. 2 PrSG kann durch Analogieschluss ("argumentum a maiore minus") abgeleitet werden, dass die unter dem Geltungsbereich des aSTEG in Verkehr gebrachten Produkte weiterhin in Verkehr bleiben dürfen, wobei allerdings die Pflichten im Sinne von Art. 8 PrSG zu beachten sind. Dies lässt darauf schliessen, dass für die Einhaltung der Sicherheitserfordernisse der Zeitpunkt des Inverkehrbringens massgeblich ist. Demgegenüber sind die übrigen Bestimmungen des am 1. Juli 2010 in Kraft getretenen PrSG (und dessen Ausführungsbestimmungen), einschliesslich der Vorschriften über die Marktüberwachung, Durchführung und das Verfahren (Art. 9 ff. PrSG und Art. 19 ff. PrSV), sofort anwendbar. Wie nachfolgend (E. 4.4.6) darzulegen ist, vermag die Beschwerdeführerin vorliegend den ihr in Bezug die Einhaltung der Sicherheitsvorschriften obliegenden Nachweis auch dann nicht zu erbringen, wenn diesbezüglich die Anforderungen des aSTEG zugrunde gelegt werden, sodass diese Frage hier nicht abschliessend beantwortet zu werden braucht.</w:t>
      </w:r>
    </w:p>
    <w:p>
      <w:r>
        <w:rPr>
          <w:b/>
        </w:rPr>
        <w:t>E. 3.4</w:t>
      </w:r>
    </w:p>
    <w:p>
      <w:r>
        <w:t>Das aSTEG bezweckte die Sicherheit von technischen Einrichtungen und Geräten (TEG) und weiter eine Vermeidung von technischen Handelshemmnissen, wobei das schweizerische Recht insbesondere auf das Recht der Europäischen Union (EU) abgestimmt werden soll (STEG-Kommentar des Staatssekretariats für Wirtschaft [Seco], Ausgabe Januar 2004, S. 15).</w:t>
      </w:r>
    </w:p>
    <w:p>
      <w:r>
        <w:rPr>
          <w:b/>
        </w:rPr>
        <w:t>E. 3.5</w:t>
      </w:r>
    </w:p>
    <w:p>
      <w:r>
        <w:t>Das PrSG, welches das Bundesgesetz vom 19. März 1976 über die Sicherheit von technischen Einrichtungen und Geräten (STEG, AS 1977 2370) abgelöst hat, soll die Sicherheit von Produkten gewährleisten und den grenzüberschreitenden freien Warenverkehr erleichtern, und gilt für das gewerbliche oder berufliche Inverkehrbringen von Produkten (Art. 1 f. PrSG). Dabei soll das schweizerische Recht auf das Recht der Europäischen Union (EU) abgestimmt werden (Botschaft des Bundesrates zum Produktesicherheitsgesetz vom 25. Juni 2008 [BBl 2008 7407]). Eine behördliche Zulassung von Produkten ist - entsprechend dem "New approach" (vgl. Hans-Joachim Hess, Produktesicherheitsgesetz [PrSG], Handkommentar, Bern 2010, Art. 4 N. 15 ff.) - nicht vorgesehen, sondern vielmehr das System der nachträglichen Kontrolle beziehungsweise der Marktkontrolle (vgl. Art. 10 PrSG i.V.m. Art. 19 PrSV; vgl. dazu auch Art. 6 aSTEG in Verbindung mit Art. 11 ff. aSTEV; STEG-Kommentar, S. 13 f. und 24 ff.).</w:t>
      </w:r>
    </w:p>
    <w:p>
      <w:r>
        <w:rPr>
          <w:b/>
        </w:rPr>
        <w:t>E. 3.6</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entsprechen, oder, wenn keine solchen Anforderungen festgelegt worden sind, dem Stand des Wissens und der Technik (Abs. 2).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 Anders als nach dem bis zum 30. Juni 2010 geltenden Recht, wonach gemäss Art. 3 aSTEG technische Einrichtungen und Geräten nur in Verkehr gebracht werden durften, wenn sie bei ihrer bestimmungsgemässen und sorgfältigen Verwendung Leben und Gesundheit der Benützer und Dritter nicht gefährden, erfasst Art. 3 PrSG somit auch die vernünftigerweise vorhersehbare Verwendung; damit ist auch der vorhersehbare und übliche, jedenfalls nicht ganz fern liegende Fehlgebrauch erfasst (Hess, a.a.O., Art. 3 N. 14 ff.).</w:t>
      </w:r>
    </w:p>
    <w:p>
      <w:r>
        <w:rPr>
          <w:b/>
        </w:rPr>
        <w:t>E. 3.7</w:t>
      </w:r>
    </w:p>
    <w:p>
      <w:r>
        <w:t>Der Bundesrat legt die grundlegenden Sicherheits- und Gesund-heitsanforderungen fest; er berücksichtigt dabei das entsprechende inter-nationale Recht (Art. 4 Abs. 1 und 2 PrSG; vgl. hierzu die analoge Regelung in Art. 4 aSTEG). Wer ein Produkt in Verkehr bringt, muss nachweisen können, dass es die grundlegenden Sicherheits- und Gesundheitsanforderungen erfüllt (Art. 5 Abs. 1 PrSG; vgl. die entsprechende Bestimmung in Art. 4b Abs. 1 aSTEG). Wird ein Produkt nach den technischen Normen gemäss Art. 6 hergestellt, so wird vermutet, dass es die grundlegenden Sicherheits- und Gesundheitsanforderungen erfüllt (Art. 5 Abs. 2 PrSG; vgl. auch Art. 4b Abs. 2 aSTEG). Das zuständige Bundesamt bezeichnet im Einvernehmen mit dem Staatssekretariat für Wirtschaft (SECO) die technischen Normen, die geeignet sind, die grundlegenden Sicherheits- und Gesundheitsanforderungen nach Artikel 4 zu konkretisieren (Art. 6 Abs. 1 PrSG; vgl. Art. 4a Abs. 1 aSTEG). Soweit möglich bezeichnet es die international harmonisierten Normen (Art. 6 Abs. 2 PrSG; vgl. auch Art. 4a Abs. 2 aSTEG). Wer ein Produkt in Verkehr bringt, das den technischen Normen nach Artikel 6 nicht entspricht, muss nachweisen können, dass das Produkt die grundlegenden Sicherheits- und Gesundheitsanforderungen auf andere Weise erfüllt (Art. 5 Abs. 3 PrSG; vgl. auch Art. 4b Abs. 3 aSTEG).</w:t>
      </w:r>
    </w:p>
    <w:p>
      <w:r>
        <w:rPr>
          <w:b/>
        </w:rPr>
        <w:t>E. 3.8</w:t>
      </w:r>
    </w:p>
    <w:p>
      <w:r>
        <w:t>Zum Nachweis der Erfüllung der Anforderungen nach Art. 3-5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(Art. 10 Abs. 1 PrSV; vgl. auch die analoge Regelung in Art. 8 Abs. 1 Satz 1 aSTEV).</w:t>
      </w:r>
    </w:p>
    <w:p>
      <w:r>
        <w:rPr>
          <w:b/>
        </w:rPr>
        <w:t>E. 3.9</w:t>
      </w:r>
    </w:p>
    <w:p>
      <w:r>
        <w:t>Nach Art. 10 PrSG können die Vollzugsorgane Produkte, die in Verkehr gebracht werden, kontrollieren und nötigenfalls Muster erheben (Abs. 1). Die Kontrolle über die Einhaltung der Vorschriften über das Inverkehrbringen obliegt vorliegend der Schweizerischen Beratungsstelle für Unfallverhütung (bfu; vgl. Art. 20 Abs. 1 Bst. b PrSV i.V.m. der Verordnung des WBF, Anhang Bst. a Ziff. 1; vgl. dazu auch Art. 11 Abs. 1 Bst. b aSTEV).</w:t>
      </w:r>
    </w:p>
    <w:p>
      <w:r>
        <w:rPr>
          <w:b/>
        </w:rPr>
        <w:t>E. 3.10</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sofern erforderlich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3.11</w:t>
      </w:r>
    </w:p>
    <w:p>
      <w:r>
        <w:t>Das Bundesgesetz vom 6. Oktober 1995 über die technischen Handelshemmnisse (THG; SR 946.51) legt in Art. 4 Abs. 2 fest, dass die technischen Vorschriften auf diejenigen der wichtigsten Handelspartner der Schweiz abzustimmen sind. In diesem Sinne sind die Sicherheitsanforderungen gemäss Richtlinie 98/37/EG des Europäischen Parlaments und des Rates vom 22. Juni 1998 zur Angleichung der Rechts- und Verwaltungsvorschriften der Mitgliedstaaten für Maschinen (Amtsblatt der Europäischen Union [EU], L 207 vom 23. Juli 1998, S.1; nachfolgend: MRL 98/37/EG) in Anwendung des aSTEG und der aSTEV im Schweizer Recht umgesetzt worden. Am 29. Juni 2006 ist die neue Richtlinie 2006/42/EG des Europäischen Parlaments und des Rates vom 17. Mai 2006 über Maschinen und zur Änderung der Richtlinie 95/16/EG (Amtsblatt der Europäischen Union [EU], L 157/87 vom 9. Juni 2006; nachfolgend: MRL 2006/42/EG) in der EU in Kraft gesetzt worden. Die Anpassung des Schweizer Rechts an die MRL 2006/42/EG erfolgte mit der MaschV (in Kraft seit 29. Dezember 2009; vgl. Art. 8 MaschV).</w:t>
      </w:r>
    </w:p>
    <w:p>
      <w:r>
        <w:rPr>
          <w:b/>
        </w:rPr>
        <w:t>E. 3.12</w:t>
      </w:r>
    </w:p>
    <w:p>
      <w:r>
        <w:t>Nach Art. 1 Abs. 3 PrSG sind die Bestimmungen dieses Gesetzes nur insoweit anwendbar, als nicht andere bundesrechtliche Bestimmungen bestehen, mit denen dasselbe Ziel verfolgt wird. Für Maschinen (im Sinne von Art. 1 Abs. 1 - 3 der MRL 98/37) gelten die grundlegenden Sicherheits- und Gesundheitsanforderungen nach Anhang I MRL 98/37 (Art. 3 Abs. 1 aSTEV in der bis 28. Dezember 2009 geltend gewesenen Fassung) beziehungsweise ab 29. Dezember 2009 die Maschinenverordnung sowie die MRL 2006/42. Das PrSG bleibt bei Lücken dieser sektoralen Erlasse und bezüglich allgemeiner Bestimmungen immer subsidiär anwendbar (Theodor Bühler, Die Produkt­sicherheit als Bestandteil der schweizerischen Rechtsordnung, 2012, S. 36).</w:t>
      </w:r>
    </w:p>
    <w:p>
      <w:r>
        <w:rPr>
          <w:b/>
        </w:rPr>
        <w:t>E. 3.13</w:t>
      </w:r>
    </w:p>
    <w:p>
      <w:r>
        <w:t>In Bezug auf Maschinen sieht Art. 2 Abs. 1 MaschV vor, dass diese nur in Verkehr gebracht werden dürfen, wenn sie bei ordnungsgemässer Installation und Wartung und bei bestimmungsgemässer oder vernünftigerweise vorhersehbarer Verwendung die Sicherheit und die Gesundheit von Personen und gegebenenfalls von Haustieren oder Sachen sowie, sofern für diese Maschinen in der EU-Maschinenrichtlinie spezifische Umweltvorschriften bestehen, die Umwelt nicht gefährden (Bst. a); und zudem die Anforderungen nach den folgenden Bestimmungen der EU-Maschinenrichtlinie (MRL 2006/42/EG) gemäss Art. 5 Abs. 1 Bst. a - e sowie Abs. 2 und 3 und Art. 12 und 13 erfüllen (Bst. b). Das Staatssekretariat für Wirtschaft (SECO) bezeichnet die technischen Normen, die geeignet sind, die grundlegenden Sicherheits- und Gesundheitsschutzanforderungen nach Anhang I der EU-Maschinenrichtlinie zu konkretisieren (Art. 3 MaschV). Die Marktüberwachung richtet sich nach den Art. 20-28 PrSV (Art. 5 Abs. 1 MaschV).</w:t>
      </w:r>
    </w:p>
    <w:p>
      <w:r>
        <w:rPr>
          <w:b/>
        </w:rPr>
        <w:t>E. 4</w:t>
      </w:r>
    </w:p>
    <w:p>
      <w:r>
        <w:t>Zunächst gilt es zu prüfen, ob das zur Diskussion stehende Garagen-Doppel-Falttor (dw 50-GUP mit elektrischem Antrieb Ditec) den grundlegenden Sicherheits- und Gesundheitsanforderungen entspricht.</w:t>
      </w:r>
    </w:p>
    <w:p>
      <w:r>
        <w:rPr>
          <w:b/>
        </w:rPr>
        <w:t>E. 4.1</w:t>
      </w:r>
    </w:p>
    <w:p>
      <w:r>
        <w:t>Die Beschwerdeführerin rügt zunächst, die von der Vorinstanz zur Anwendung gebrachten Gesetze und Verordnungen seien zum Zeitpunkt, da die Toranlage im Jahr 2007 von ihr installiert und damit in Verkehr gebracht worden sei, noch nicht massgeblich gewesen (BVGer act. 1, S. 1). Dagegen wendet die Vorinstanz in ihrer Vernehmlassung vom 5. Februar 2014 insbesondere ein, das betroffene Produkt habe bereits die Sicherheitsanforderungen des (bis zum 30. Juni 2010 in Kraft gestandenen) aSTEG nicht erfüllt. Insoweit habe die Gesetzesrevision auf die festgestellten Mängel keinen Einfluss, und die Beschwerdeführerin erleide durch die Nichterwähnung des aSTEG keinen Nachteil. Was die Sicherheitsabstände gemäss der Norm SN EN 12604 betreffe, sei diese Norm bereits seit dem Jahr 2000 in Kraft, weshalb diese Anforderungen auch im Jahre 2007, dem Zeitpunkt des Inverkehrbringens des Produktes, gegolten hätten (BVGer act. 21). 4.2.1 Beim hier zur Diskussion stehenden Garagen-Doppel-Falttor (dw 50-GUP mit elektrischem Antrieb Ditec) handelt es sich um eine Maschine im Sinne von Art. 1 Abs. 3 MaschV beziehungsweise Art. 2 Bst. a MRL 2006/42/EG, welche von der Beschwerdeführerin in Verkehr gebracht wurde. Sie muss gemäss Art. 5 Abs. 1 PrSG nachweisen können, dass diese die grundlegenden Sicherheits- und Gesundheitsanforderungen erfüllt (vgl. nachstehende E. 4.4 und 4.5). Für Maschinen gelten gemäss Art. 2 Abs. 1 Bst. b MaschV in Verbindung mit Art. 5 Abs. 1 Bst. a bis e sowie Abs. 2 und 3 sowie Art. 12 und 13 der MRL 2006/42/EG die im Anhang I aufgeführten grundlegenden Sicherheits- und Gesundheitsschutzanforderungen. Das Staatssekretariat für Wirtschaft (SECO) bezeichnet die technischen Normen, die geeignet sind, die grundlegenden Sicherheits- und Gesundheitsschutzanforderungen nach Anhang I der EU-Maschinenrichtlinie zu konkretisieren (Art. 3 MaschV). Sinn und Zweck der Vorschriften bezüglich Maschinensicherheit ist es, die Gefahr, welche von der Maschine als solche ausgeht, zu reduzieren. Die Sicherheit vorwiegend mit organisatorischen Vorkehrungen erreichen zu wollen, würde somit dem Sinn und Zweck der Maschinensicherheit widersprechen, da die Gefahr, welche von der Maschine selber ausgeht, nicht entsprechend dem Stand der Technik eingeschränkt würde. 4.2.2 Dem Leitfaden für die Anwendung der MRL 2006/42/EG ist auf Seite 150 zu entnehmen, dass harmonisierte Normen technische Spezifikationen enthalten, die es dem Maschinenhersteller ermöglichen, die grundlegenden Sicherheits- und Gesundheitsschutzanforderungen zu erfüllen. Da harmonisierte Normen auf der Grundlage eines Konsenses zwischen den Beteiligten entwickelt und beschlossen werden, vermitteln ihre Spezifikationen einen guten Anhaltspunkt für den Stand der Technik zum Zeitpunkt ihrer Annahme. Die Entwicklung des Stands der Technik findet ihren Niederschlag in späteren Änderungen oder Überarbeitungen harmonisierter Normen. In dieser Hinsicht setzt das durch die Anwendung einer harmonisierten Norm mögliche Sicherheitsniveau einen Massstab, der von allen Herstellern der durch die Norm abgedeckten Maschinenkategorie berücksichtigt werden muss, und zwar auch von jenen Herstellern, die sich für die Verwendung alternativer technischer Lösungen entscheiden. Ein Hersteller, der sich für Alternativlösungen entscheidet, muss nachweisen können, dass diese Lösungen, unter Berücksichtigung des aktuellen Stands der Technik, den grundlegenden Sicherheits- und Gesundheitsschutzanforderungen der MRL entsprechen. Folglich müssen diese alternativen Lösungen ein Sicherheitsniveau bieten, das mindestens gleichwertig ist mit dem, das mit der Anwendung der Spezifikationen der einschlägigen harmonisierten Norm erzielt würde (vgl. Leitfaden für die Anwendung der Maschinenrichtlinie 2006/42/EG, 2. Aufl., Juni 2010, nachfolgend: Leitfaden; &lt; http://ec.europa.eu/enterprise/sec-tors/mechanical /files/machinery/guide-appl-2006-42-ec-2nd-201006_de.pdf&gt;, abgerufen am 19.05.2015). 4.2.3 Gemäss Anhang I MRL 2006/42/EG, Allgemeine Grundsätze, hat der Hersteller einer Maschine oder sein Bevollmächtigter dafür zu sorgen, dass eine Risikobeurteilung vorgenommen wird, um die für die Maschine geltenden Sicherheits- und Gesundheitsschutzanforderungen zu ermitteln. Die Maschine muss dann unter Berücksichtigung der Ergebnisse der Risikobeurteilung konstruiert und gebaut werden. 4.2.4 Gemäss Ziff. 1.1.1 Bst. a des Anhangs I MRL 2006/42/EG bezeichnet der Ausdruck "Gefährdung" eine potenzielle Quelle von Verletzungen oder Gesundheitsschäden und gemäss Bst. i die "vernünftigerweise vorhersehbare Fehlanwendung" die Verwendung einer Maschine in einer laut Betriebsanleitung nicht beabsichtigten Weise, die sich jedoch aus leicht absehbarem menschlichem Verhalten ergeben kann. 4.2.5 Laut Ziff. 1.1.2 Bst. a. des Anhangs I MRL 2006/42/EG ist die Maschine so zu konstruieren und zu bauen, dass sie ihrer Funktion gerecht wird und unter den vorgesehenen Bedingungen - aber auch unter Berücksichtigung einer vernünftigerweise vorhersehbaren Fehlanwendung der Maschine - Betrieb, Einrichten und Wartung erfolgen kann, ohne dass Personen einer Gefährdung ausgesetzt sind. Die getroffenen Massnahmen müssen darauf abzielen, Risiken während der voraussichtlichen Lebensdauer der Maschine zu beseitigen, einschliesslich der Zeit, in der die Maschine transportiert, montiert, demontiert, ausser Betrieb gesetzt und entsorgt wird. 4.2.6 Laut Ziff. 1.1.2 Bst. b. des Anhangs I MRL 2006/42/EG muss der Hersteller oder sein Bevollmächtigter bei der Wahl der angemessensten Lösungen folgende Grundsätze anwenden, und zwar in der angegebenen Reihenfolge: Beseitigung oder Minimierung der Risiken so weit wie möglich (Integration der Sicherheit in Konstruktion und Bau der Maschine), Ergreifen der notwendigen Schutzmassnahmen gegen Risiken, die sich nicht beseitigen lassen, und Unterrichtung der Benutzer über die Restrisiken aufgrund der nicht vollständigen Wirksamkeit der getroffenen Schutzmassnahmen; Hinweis auf eine eventuell erforderliche spezielle Ausbildung oder Einarbeitung und persönliche Schutzausrüstung. 4.2.7 Gemäss Ziff. 1.3.7 des Anhangs I MRL 2006/42/EG müssen die beweglichen Teile der Maschine so konstruiert und gebaut sein, dass Unfallrisiken durch Berührung dieser Teile verhindert werden; falls Risiken dennoch bestehen, müssen die beweglichen Teile mit trennenden oder nichttrennenden Schutzeinrichtungen ausgestattet sein. Es müssen alle erforderlichen Vorkehrungen getroffen werden, um ein ungewolltes Blockieren der beweglichen Arbeitselemente zu verhindern. Kann es trotz dieser Vorkehrungen zu einer Blockierung kommen, so müssen gegebenenfalls die erforderlichen speziellen Schutzeinrichtungen und das erforderliche Spezialwerkzeug mitgeliefert werden, damit sich die Blockierung gefahrlos lösen lässt. Auf die speziellen Schutzeinrichtungen und deren Verwendung ist in der Betriebsanleitung und nach Möglichkeit auf der Maschine selbst hinzuweisen. 4.2.8 Von Produkten, welche nach technischen Normen im Sinne von Art. 6 PrSG hergestellt wurden, wird vermutet, dass sie mit den grundlegenden Sicherheits- und Gesundheitsanforderungen konform sind. Die Vermutung erfasst nur die Herstellung nach Normen, welche vom zuständigen Bundesamt im Einvernehmen mit dem Staatssekretariat für Wirtschaft (SECO) bezeichnet wurden, um die grundlegenden Sicherheits- und Gesundheitsanforderungen zu konkretisieren. Sonstige technische Spezifikationen sind rein industrielle Standards, denen eine solche Rechtswirkung nicht zukommt (vgl. Hans-Joachim Hess, a.a.O., Art. 5 N. 16 f.). Die Vermutungswirkung im Sinne von Art. 5 Abs. 2 PrSG gilt nur für jene Normen, welche harmonisiert und im Bundesblatt veröffentlicht wurden (Art. 6 PrSG; Urteil des BVGer C-1177/2012 vom 12. Juni 2014 E. 5.6.3). Im Bereich der Maschinensicherheit wurde eine strukturelle Gliederung der Normen entwickelt. Typ-A-Normen (Sicherheitsgrundnormen) behandeln grundlegende Sicherheitsfragen sowie auf sämtliche Maschinen anwendbare Grundsätze, die nur einmal festgelegt werden müssen. Dazu gehören Normen über Grundbegriffe, Gebrauchsanleitungen, Terminologie. Typ-B-Normen (Sicherheitsfachgrundnormen) sind Normen mit sicherheitstechnischen Aussagen, die nicht nur eine einzelne Maschine betreffen, sondern in ähnlicher Weise für eine Gruppe von verschiedenen Maschinen oder Anwendungen gelten. Typ-C-Normen (Maschinensicherheitsnormen) behandeln spezifische Sicherheitsanforderungen für einzelne Maschinen bzw. Maschinengruppen (vgl. &lt;www.suva.ch/certification &gt; Maschinensicherheit&gt;, abgerufen am 19.05.2015). Ausschliesslich Typ-C-Normen können eine Konformitätsvermutung im Sinne von Art. 5 Abs. 2 PrSG auslösen (vgl. STEG-Kommentar, S. 11 zu Art. 4b Abs. 2 aSTEG, welcher weitgehend Art. 5 Abs. 2 PrSG entsprach). 4.2.9 Gemäss Art. 5 Bst. e MRL 2006/42/EG muss der Hersteller oder sein Bevollmächtigter vor dem Inverkehrbringen und/oder der Inbetriebnahme einer Maschine die EG-Konformitätserklärung gemäss Anhang II Teil 1 Abschnitt A ausstellen und sicherstellen, dass sie der Maschine beiliegt. Die Anforderungen an die Konformitätsbewertung im Zusammenhang mit Toren werden in der Norm SN EN 13241-1 aufgeführt, welche harmonisiert und im Bundesblatt publiziert wurde (vgl. hierzu Verzeichnis der SUVA vom 5. Mai 2014 betreffend die anwendbaren Richtlinien und Normen für Maschinen, S. 20; &lt; http://www.suva.ch &gt; Prävention &gt; Produktzertifizierung &gt; Maschinensicherheit &gt; Verzeichnis der anwendbaren Richtlinien und Normen für Maschinen [nachfolgend: SUVA-Verzeichnis 2014], abgerufen am 19.05.2015 und damit verbindlich ist (vgl. dazu Mitteilung der Kommission im Rahmen der Durchführung der MRL vom 11. Juli 2014, &lt;http://eur-lex.europa.eu/legal-content/DE/TXT/PDF/?uri= CELEX: 52014 XC0711(01)&amp;from=DE&gt;, abgerufen am 19.05.2015; vgl. auch BBl 2004 2594; 2011 9040; 2014 7425). Nach Ziff. 6.1 Norm SN EN 13241-1 ist eine allgemeine Konformitätserklärung nur dann gültig, wenn sie auf einer Erstprüfung nach Ziff. 6.2 oder auf einer vor Ort durchgeführten Prüfung nach Ziff. 6.3 beruht.</w:t>
      </w:r>
    </w:p>
    <w:p>
      <w:r>
        <w:rPr>
          <w:b/>
        </w:rPr>
        <w:t>E. 4.3</w:t>
      </w:r>
    </w:p>
    <w:p>
      <w:r>
        <w:t>Zu prüfen ist in einem nächsten Schritt, ob die von der Beschwerdeführerin im vorinstanzlichen Verfahren eingereichte Konformitätserklärung der Herstellerin vom 2. Januar 2007 (act. 3/7) den gesetzlichen Vorgaben entspricht.</w:t>
      </w:r>
    </w:p>
    <w:p>
      <w:r>
        <w:rPr>
          <w:b/>
        </w:rPr>
        <w:t>E. 4.3.1</w:t>
      </w:r>
    </w:p>
    <w:p>
      <w:r>
        <w:t>Die Vorinstanz hält diesbezüglich fest, dass die eingereichte Konformitätserklärung eine allgemein gültige Erklärung sei, welche erstens nicht auf den Standort bezogen und auf der zweitens nicht ersichtlich sei, welches Tor mit welchem Antrieb vor Ort eingebaut worden sei. Eine allgemeine Konformitätserklärung sei nur gültig, wenn gemäss Kapitel 6 der Norm SN EN 13241-1 nach der Inbetriebnahme auch eine werkseigene Produktionskontrolle (mindestens 3 Kontrollmessungen der Schliesskraft in der Mitte des Tores) am Objekt vor Ort durchgeführt worden sei. Damit werde kontrolliert, ob die vom Torhersteller geprüften und spezifizierten Eigenschaften auch vor Ort eingehalten würden. Alternativ dazu könne eine auf den Ort bezogene Konformitätserklärung des Gesamtsystems vom Inverkehrbringer erstellt werden, welcher den Antrieb und die Steuerung montiert habe. Dazu müssten die Schliesskräfte nach der Norm SN EN 12445 geprüft werden, um festzustellen, ob die zulässigen Kraftwerte nach Anhang A der Norm SN EN 12453 eingehalten würden. Die Konformitätserklärung erfülle beide Varianten nicht.</w:t>
      </w:r>
    </w:p>
    <w:p>
      <w:r>
        <w:rPr>
          <w:b/>
        </w:rPr>
        <w:t>E. 4.3.2</w:t>
      </w:r>
    </w:p>
    <w:p>
      <w:r>
        <w:t>Soweit die MaschV keine besonderen Bestimmungen enthält, gelten für Maschinen die Bestimmungen der PrSV (Art. 1 Abs. 4 MaschV). Nach Art. 9 Abs. 1 PrSV bescheinigt die Konformitätserklärung, dass ein Produkt die grundlegenden Sicherheits- und Gesundheitsanforderungen erfüllt (Bst. a); und die Konformitätsbewertung korrekt durchgeführt worden ist (Bst. b). Die Konformitätserklärung wird gemäss Art. 9 Abs. 2 PrSV vom Hersteller oder von seinem in der Schweiz niedergelassenen Vertreter ausgestellt (Abs. 2; vgl. hierzu auch Art. 7 und 8 aSTEV). Wie vorstehend erwähnt, setzt das Inverkehrbringen von Maschinen gemäss Art. 2 Abs. 1 Bst. b MaschV voraus, dass die folgenden Bestimmungen nach der EU-Maschinenrichtlinie erfüllt sind: Art. 5 Abs. 1 Bst. a - e sowie Abs. 2 und 3 und Art. 12 und 13 MRL 2006/42. Nach Art. 5 Abs. 1 Bst. e MRL 2006/42 muss insbesondere die EG-Konformitätserklärung gemäss Anhang II Teil 1 Abschnitt A beiliegen. Nach dem genannten Anhang (Absatz 2) bezieht sich die Erklärung auf die Maschine in dem Zustand, in dem sie in Verkehr gebracht wurde. Vorliegend hat die Beschwerdeführerin im vorinstanzlichen Verfahren eine generelle Konformitätserklärung des Herstellers vom 2. Januar 2007 eingereicht, welche sich nicht auf den massgeblichen Standort bezieht und aus welcher auch nicht ersichtlich ist, welcher Antrieb beim Tor eingesetzt wurde. Eine Prüfung vor Ort im Sinne von Ziff. 6.3 der SN EN 13241-1 wurde vorliegend anerkanntermassen nicht vorgenommen. Darüber hinaus liegt auch kein Nachweis einer Erstprüfung im Sinne von Ziff. 6.2 der Norm vor, welcher die Einhaltung sämtlicher in Ziff. 4.2, 4.3 und 4.4 angegebenen Anforderungen belegen würde. Die werkseigene Produktionskontrolle durch den Hersteller ist dabei zwingend nach der Installation und vor Ort durchzuführen. Der Hersteller muss sodann auch sicherstellen, dass die Konformitätserklärung der Maschine beiliegt (Art. 5 Abs. 1 Bst. e MRL 2006/42). Dementsprechend steht fest, dass die von der Beschwerdeführerin eingereichte Konformitätserklärung die Anforderungen der entsprechenden Norm nicht erfüllt. Damit vermag die von der Beschwerdeführerin eingereichte Erklärung auch keine Vermutung der Erfüllung der Einhaltung der grundlegenden Sicherheits- und Gesundheitsanforderungen (im Sinne von Art. 6 i.V.m. Art. 5 Abs. 2 PrSG) zu begründen. Die Beschwerdeführerin bleibt für deren Einhaltung beweisbelastet, das heisst sie trägt vollumfänglich die subjektive und objektive Beweislast (vgl. Urteil des BVGer C-5864/2009 vom 3. Juli 2012 E. 5.2.2 mit Hinweisen).</w:t>
      </w:r>
    </w:p>
    <w:p>
      <w:r>
        <w:rPr>
          <w:b/>
        </w:rPr>
        <w:t>E. 4.3.3</w:t>
      </w:r>
    </w:p>
    <w:p>
      <w:r>
        <w:t>Nach dem Gesagten hat die bfu zu Recht das Fehlen einer rechtsgenüglichen Konformitätserklärung beanstandet (Ziff. 2 erster Absatz des Dispositivs) und die Beschwerdeführerin auch zu Recht verpflichtet, eine gültige Konformitätserklärung nachzureichen und nachzuweisen, dass diese Erklärung dem Betreiber zugestellt worden ist (Ziffer 4 Abs. 3 und 4 des Dispositivs).</w:t>
      </w:r>
    </w:p>
    <w:p>
      <w:r>
        <w:rPr>
          <w:b/>
        </w:rPr>
        <w:t>E. 4.4</w:t>
      </w:r>
    </w:p>
    <w:p>
      <w:r>
        <w:t>Zu prüfen ist im Weiteren, ob die Beschwerdeführerin den Nachweis der Sicherheits- und Gesundheitsanforderungen zu erbringen vermag. Dabei ist vorab die Bedeutung der von der Vorinstanz zitierten Schweizer Normen (SN), insbesondere der SN EN 12604:2000, 12453:2000, 12445:2000, zu prüfen.</w:t>
      </w:r>
    </w:p>
    <w:p>
      <w:r>
        <w:rPr>
          <w:b/>
        </w:rPr>
        <w:t>E. 4.4.1</w:t>
      </w:r>
    </w:p>
    <w:p>
      <w:r>
        <w:t>In diesem Zusammenhang gilt es zu beachten, dass keine dieser Normen harmonisiert wurde (vgl. hierzu SUVA-Verzeichnis 2014, S. 18). Bei dieser Sach- und Rechtslage kommt diesen Normen demnach keine Bedeutung im Sinne der gesetzlichen Vermutung von 5 Abs. 2 PrSG (beziehungsweise Art. 4b Abs. 2 aSTEG) zu.</w:t>
      </w:r>
    </w:p>
    <w:p>
      <w:r>
        <w:rPr>
          <w:b/>
        </w:rPr>
        <w:t>E. 4.4.2</w:t>
      </w:r>
    </w:p>
    <w:p>
      <w:r>
        <w:t>Für die hier zur Diskussion stehende Maschine sind demnach die grundlegenden Sicherheits- und Gesundheitsanforderungen der SN EN 12604:2000 (Tore - Mechanische Aspekte - Anforderungen), 12453:2000 (Tore - Nutzungssicherheit kraftbetätigter Tore - Anforderungen) und 12445:2000 (Tore - Nutzungssicherheit kraftbetätigter Tore - Prüfverfahren) zwar insoweit zu beachten, als sie unter Berücksichtigung des aktuellen Stands der Technik die nach Auffassung der Experten einzuhaltenden Sicherheits- und Gesundheitsschutzanforderungen widergeben. Es gilt indes nicht die gesetzliche Vermutung, wonach das Produkt bei deren Einhaltung die grundlegenden Sicherheits- und Gesundheitsanforderungen erfüllt.</w:t>
      </w:r>
    </w:p>
    <w:p>
      <w:r>
        <w:rPr>
          <w:b/>
        </w:rPr>
        <w:t>E. 4.4.3</w:t>
      </w:r>
    </w:p>
    <w:p>
      <w:r>
        <w:t>Somit hat die Beschwerdeführerin gemäss Art. 5 Abs. 1 PrSG nachzuweisen, dass das Produkt die grundlegenden Sicherheits- und Gesundheitsanforderungen erfüllt (vgl. auch Art. 4b Abs. 1 und 3 aSTEG)</w:t>
      </w:r>
    </w:p>
    <w:p>
      <w:r>
        <w:rPr>
          <w:b/>
        </w:rPr>
        <w:t>E. 4.4.4</w:t>
      </w:r>
    </w:p>
    <w:p>
      <w:r>
        <w:t>In Bezug auf kraftbetätige Tore sieht die seit dem 1. November 2000 gültige SN EN 12604:2000 in Ziff. 4.5 mechanische Schutzmassnahmen und Sicherheitsabstände gegen Quetschen, Schneiden, Scheren, Erfassen, Einziehen und Einschliessen vor. Ganz allgemein fordert die Norm für handbetätigte Einrichtungen, dass Torflügel, Befestigungen und Betätigungseinrichtungen so konstruiert oder beschaffen sein müssen, dass Personen, die das Tor betätigen, während der Öffnungs- und Schliessphase nicht Gefährdungen durch Quetschen, Schneiden, Scheren, Erfassen oder Einziehen ausgesetzt sind (Ziff. 4.5.1). Bei kraftbetätigten Toren sind gemäss Ziff. 4.5.2 der erwähnten Norm - neben den genannten Erfordernissen - zusätzlich auch die Anforderungen der (ab 1. Juni 2001 gültigen) SN EN 12453:2000 einzuhalten. Gemäss Anhang C.3 der SN EN 12604:2000 ist ein Sicherheitsabstand von 500 mm an der Hinterkante des Flügels anzubringen, der sich einer geschlossenen Wand entlang, jedoch entfernt von ihr, bewegt. Nach Ziff. 4.1.1 der SN EN 12453:2000 ist eine Gefahrstelle insbesondere als gegeben anzusehen, wenn sie bis zu einer Höhe von 2.50 m über Fussboden oder anderen ständigen Zugangsebene liegt, und wenn sie unter anderem auftritt zwischen Schliesskanten und Gegenständen, die sich im Schliessbereich des Flügels befinden oder zwischen Flügeln und Kanten von Öffnungen in Torflügeln und festen Teilen der Umgebung (vgl. auch Typen b und d in Anhang B). Nach Ziff. 5.1.1 SN EN 12453:2000 sind Gefahren an Quetsch-, Scher- und Einzugsstellen insbesondere zu vermeiden durch Einhalten von Sicherheitsabständen und durch Begrenzung der Kräfte, die durch den Torflügel ausgeübt werden, wenn er auf eine Person oder einen Gegenstand auftritt. Kräfte sind dabei als sicher anzusehen, wenn die im Anhang A festgelegten Werte nicht überschritten werden (Ziff. 5.1.1.5 SN EN 12453:2000). Gemäss Anhang A.2 belaufen sich die zulässigen Maximalkräfte bei Öffnungsweiten zwischen Schliess- und Gegenschliesskanten auf 400 N (Newton).</w:t>
      </w:r>
    </w:p>
    <w:p>
      <w:r>
        <w:rPr>
          <w:b/>
        </w:rPr>
        <w:t>E. 4.4.5</w:t>
      </w:r>
    </w:p>
    <w:p>
      <w:r>
        <w:t>Laut den gemäss Augenschein vor Ort getroffenen Feststellungen der bfu liegt der rechte Torflügel bündig an der Mauer an, und es besteht keine hinreichende Absicherung, welche das Einklemmen von Personen oder Sachen verhindern könnte (act. 1/3, S. 2). Darüber hinaus ist im Bereich des linken Torflügels ein Abstand von nur gerade 260 mm vorhanden (act. 1/3, S. 2), obwohl gemäss Anhang C.3 der SN EN 12604:2000 ein Sicherheitsabstand von 500 mm erforderlich wäre. Der Beschwerdeführer vermag im Beschwerdeverfahren nicht substanziiert darzulegen, inwiefern diese Feststellungen nicht korrekt sein sollen. Die unbelegte Parteibehauptung, dass das Produkt den damaligen gesetzlichen Vorgaben entsprochen habe (BVGer act. 23, S. 2), vermag die Feststellungen von fehlenden Sicherheitsabständen und einer fehlenden hinreichenden Absicherung zur Verhinderung des Einklemmens nicht infrage zu stellen.</w:t>
      </w:r>
    </w:p>
    <w:p>
      <w:r>
        <w:rPr>
          <w:b/>
        </w:rPr>
        <w:t>E. 4.4.6</w:t>
      </w:r>
    </w:p>
    <w:p>
      <w:r>
        <w:t>Wie die Vorinstanz mit Recht vorbringt, waren die hier zur Diskussion stehenden Sicherheitsanforderungen bereits unter dem Geltungsbereich des aSTEG (in seiner Fassung mit den Änderungen vom 18. Juni 1993 [AS 1995 2766] und vom 17. Juni 2005 [AS 2006 2197, 2273]) massgeblich. Auch nach Art. 3 aSTEG durften technische Einrichtungen und Geräte nur in Verkehr gebracht werden, wenn sie bei ihrer bestimmungsgemässen und sorgfältigen Verwendung Leben und Gesundheit der Benützer und Dritter nicht gefährden. Es ist auch für den technischen Laien nachvollziehbar, dass fehlende Sicherheitsabstände und fehlende Absicherungen zur Verhinderung des Einklemmens eine konkrete Gefährdung darstellen. Dass mit dem Inkrafttreten des PrSG per 1. Juli 2010 der Schutzbereich noch ausgedehnt wurde und auch der vorhersehbare und übliche, jedenfalls nicht ganz fern liegende Fehlgebrauch auch einbezogen wurde (Art. 3 Abs. 1 PrSG; vgl. dazu auch Hess, a.a.O., Art. 3 N. 14 ff.), ändert nichts an der Feststellung, dass die im Jahr 2007 in Verkehr gebrachte Maschine die Sicherheitsvorschriften bereits des tieferen Schutzniveaus des aSTEG nicht eingehalten hat. Gemäss Art. 4a Abs. 2 aSTEG war nach Möglichkeit bereits zum Zeitpunkt des Inverkehrbringens im Jahr auf international anerkannte Normen, wie die vorstehend zitierten Richtlinien, zurückzugreifen. Die SN EN 12604:2000 war seit dem 1. November 2000 und die SN EN 12453:2000 seit 1. Juni 2001 gültig; diese Normen waren damit als in Expertenkreisen anerkannter Sicherheitsstandard bereits im Zeitpunkt des Inverkehrbringens im Jahr 2007 von der Beschwerdeführerin zu beachten. Bei (kraftbetätigten) Toren gilt es zudem zu beachten, dass es sich beim Öffnungs- und Schliessvorgang um einen automatischen Ablauf handelt, der nicht durch eine Drittperson überwacht und gegebenenfalls unterbrochen wird. Dementsprechend waren die von der Vorinstanz - zufolge Verletzung der genannten Normen - festgestellten Sicherheitsmängel bereits im Zeitpunkt des Inverkehrbringens des Produktes zu beanstanden. Damit erweist sich der Einwand der Beschwerdeführerin, wonach die neuen Vorschriften über die Produktesicherheit im Zeitpunkt der Installation noch nicht in Kraft gewesen seien, als unbehelflich. Somit steht fest, dass die Beschwerdeführerin den ihr obliegenden Nachweis für die Einhaltung der grundlegenden Sicherheits- und Gesundheitsanforderungen (nach Art. 4b Abs. 3 STEG, Art. 5 Abs. 1 PrSG und Art. 3 Abs. 1 MaschV) nicht zu erbringen vermag.</w:t>
      </w:r>
    </w:p>
    <w:p>
      <w:r>
        <w:rPr>
          <w:b/>
        </w:rPr>
        <w:t>E. 4.5</w:t>
      </w:r>
    </w:p>
    <w:p>
      <w:r>
        <w:t>Als Zwischenergebnis kann daher festgehalten werden, dass die Vor­instanz zu Recht das Fehlen einer gültigen Konformitätserklärung und die ungenügende Sicherheit festgestellt hat. Ziff. 1 und 2 des angefochtenen Verfügungsdispositivs sind daher nicht zu beanstanden.</w:t>
      </w:r>
    </w:p>
    <w:p>
      <w:r>
        <w:rPr>
          <w:b/>
        </w:rPr>
        <w:t>E. 5</w:t>
      </w:r>
    </w:p>
    <w:p>
      <w:r>
        <w:t>Zu prüfen ist in einem weiteren Schritt, ob die angeordneten Verwaltungsmassnahmen gemäss Ziff. 3 - 7 des Dispositivs rechtmässig sind.</w:t>
      </w:r>
    </w:p>
    <w:p>
      <w:r>
        <w:rPr>
          <w:b/>
        </w:rPr>
        <w:t>E. 5.1</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 vgl. dazu auch Art. 11 Abs. 2 aSTEG i.V.m. Art. 13a aSTEV). Der in Art. 10 Abs. 3 PrSG aufgeführte Katalog von Massnahmen, welche die Vollzugsorgane ergreifen können, ist nicht abschliessend (Hess, a.a.O., Art. 10 N. 16).</w:t>
      </w:r>
    </w:p>
    <w:p>
      <w:r>
        <w:rPr>
          <w:b/>
        </w:rPr>
        <w:t>E. 5.2.1</w:t>
      </w:r>
    </w:p>
    <w:p>
      <w:r>
        <w:t>Die in Ziffer 3 des Dispositivs verankerte Verpflichtung, die notwendigen Sicherungsmassnahmen betreffend die Klemmstellen beim bereits in Verkehr gebrachten Produkt innert der Frist von 4 Monaten zu beheben, steht im Einklang mit den gesetzlichen Vorgaben und erweist sich in sachlicher und zeitlicher Hinsicht als verhältnismässig. Dies gilt umso mehr, als auch die Beschwerdeführerin keine substanziierten Rügen gegen die angeordneten Massnahmen vorbringt.</w:t>
      </w:r>
    </w:p>
    <w:p>
      <w:r>
        <w:rPr>
          <w:b/>
        </w:rPr>
        <w:t>E. 5.2.2</w:t>
      </w:r>
    </w:p>
    <w:p>
      <w:r>
        <w:t>In Ziffer 4 Abs. 1 und 2 des Dispositivs wird die Beschwerdeführerin sodann verpflichtet, innert derselben Frist diverse Unterlagen (unter anderem auch Steuerungsunterlagen und Anschlussschema der Toranlage) einzureichen. Hinsichtlich der von der Vorinstanz bei der Beschwerdeführerin eingeforderten Steuerungsunterlagen und des Anschlussschemas ist festzuhalten, dass erstere im Rahmen ihrer Replik vorbringt, dass die Rechnung vom 1. Juni 2007 (Beilage 5 zu BVGer act. 1) im vorinstanzlichen Verfahren noch nicht vorhanden gewesen sei; insoweit habe sie keine Kenntnis davon gehabt, dass die elektrischen Installationen bauseits erfolgt seien (BVGer act. 21). Damit räumt die bfu sinngemäss ein, dass sie bei Kenntnis dieser Sachlage die (für den Fall einer Ersatzvornahme erforderlichen Dokumente) bei der entsprechenden Drittperson (Elektriker beziehungsweise Stockwerkeigentümergemeinschaft) eingefordert hätte. Nachdem die Beschwerdeführerin die entsprechenden Elektroarbeiten nicht vorgenommen hat, ist sie offensichtlich nicht im Besitz der Steuerungsunterlagen und des Anschlussschemas. Die Vorinstanz dürfte unter diesen Umständen diese Akten bei der Beschwerdeführerin nur einfordern, soweit sie diese tatsächlich in Händen hält. Soweit die Vorinstanz demnach in Ziffer 4 Abs. 1 und 2 des Verfügungsdispositivs die Steuerungsunterlagen und das Anschlussschema der Toranlage bei der Beschwerdeführerin eingefordert hat, ist die angefochtene Verfügung demnach aufzuheben. Soweit die Vorinstanz indes die Zustellung des Konformitätsnachweises und den Nachweis, dass dieser dem Betreiber zugestellt worden sei, fordert, ist die Massnahme hingegen rechtmässig und nicht zu beanstanden (vgl. dazu E. 4.3.3 hiervor).</w:t>
      </w:r>
    </w:p>
    <w:p>
      <w:r>
        <w:rPr>
          <w:b/>
        </w:rPr>
        <w:t>E. 5.2.3</w:t>
      </w:r>
    </w:p>
    <w:p>
      <w:r>
        <w:t>In Dispositivziffer 5 hat die Vorinstanz für den Fall einer Missachtung der angeordneten Verpflichtung eine Ersatzmassnahme unter Auferlegung der Kosten an die Beschwerdeführerin angedroht. Die Anordnung einer Ersatzvornahme ist selbst ohne spezialgesetzliche Grundlage zulässig, wenn sie eine vertretbare Verpflichtung zu einem Tun betrifft und der angedrohten Ersatzvornahme eine Androhung unter Einräumung einer Erfüllungsfrist vorangeht (Art. 41 Abs. 2 VwVG; Pierre Tschannen/Ulrich Zimmerli/Markus Müller, Allgemeines Verwaltungsrecht, 3. Aufl. 2009, § 32 Rz. 21 ff.). Diese Voraussetzungen sind vorliegend ohne Weiteres erfüllt, sodass sich auch die entsprechende Anordnung der bfu in Ziffer 5 des Dispositivs als rechtmässig erweist.</w:t>
      </w:r>
    </w:p>
    <w:p>
      <w:r>
        <w:rPr>
          <w:b/>
        </w:rPr>
        <w:t>E. 5.2.4</w:t>
      </w:r>
    </w:p>
    <w:p>
      <w:r>
        <w:t>In Ziffer 6 des Dispositivs wird die Beschwerdeführerin sodann unter Androhung von Busse gemäss Art. 17 Abs. 1 Bst. c PrSG verpflichtet, die in Ziff. 2, 3 und 4 aufgeführten Punkte einzuhalten. In der erwähnten Strafbestimmung wird die vorsätzliche Übertretung einer Ausführungsvorschrift unter Strafe (Busse bis Fr. 40'000.-) gestellt. Die Androhung der Strafe bezweckt die Sicherstellung der Rechtsdurchsetzung und ist vorliegend nicht zu beanstanden.</w:t>
      </w:r>
    </w:p>
    <w:p>
      <w:r>
        <w:rPr>
          <w:b/>
        </w:rPr>
        <w:t>E. 5.2.5</w:t>
      </w:r>
    </w:p>
    <w:p>
      <w:r>
        <w:t>Schliesslich bleibt zu prüfen, ob die auferlegte Gebühr von Fr. 5'000.- (Ziffer 7 des Dispositivs) rechtmässig ist. Art. 14 PrSG sieht vor, dass der Bundesrat die Finanzierung des Vollzugs regelt, soweit dieser in die Zuständigkeit des Bundes fällt (Abs. 1). Die Vollzugsorgane können für die Kontrolle von Produkten und für den Vollzug von Massnahmen Gebühren erheben (Abs. 2). In Ausführung dieser Kompetenz hat der Bundesrat in Art. 27 PrSV bestimmt, dass die Behörden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werden dabei nach dem Zeitaufwand bemessen (Art. 28 Abs. 1 Bst. a). Der Stundensatz beträgt Fr. 200.- (Art. 28 Abs. 2 PrSV). Mit Blick auf die von der Vorinstanz durchgeführten Abklärungen erweist sich der geltend gemachte Zeitaufwand von 25 Stunden als angemessen. Die von ihr in Rechnung gestellte Gebühr von Fr. 5'000.- (= 25 Stunden à Fr. 200.- pro Stunde) ist daher nicht zu beanstanden.</w:t>
      </w:r>
    </w:p>
    <w:p>
      <w:r>
        <w:rPr>
          <w:b/>
        </w:rPr>
        <w:t>E. 6</w:t>
      </w:r>
    </w:p>
    <w:p>
      <w:r>
        <w:t>Aufgrund der vorstehenden Erwägungen ergibt sich zusammenfassend, dass die Beschwerde vom 20. August 2013 lediglich insoweit gutzuheissen ist, als Dispositivziffer 4 Abs. 1 und 2 (Einforderung der Steuerungsunterlagen und des Anschlussschemas der Toranlage bei der Beschwerdeführerin) aufgehoben wird (E. 5.2.2 hiervor). Soweit weitergehend ist die Beschwerde abzuweisen, und sämtliche weiteren Feststellungen und Anordnungen in der angefochtenen Verfügung vom 22. Juli 2013, das heisst Ziffer 1 - 7, mit Ausnahme der genannten Absätze 1 und 2 von Ziffer 4 des Dispositivs, sind zu bestätigen. Aufgrund des Zeitablaufs ist die in Dispositivziffer 3 und 4 Abs. 3 und 4 der angefochtenen Verfügung auferlegte Frist für die Durchführung der Sicherungsmassnahmen und die Einreichung der Unterlagen neu auf drei Monate nach Eintritt der Rechtskraft des vorliegenden Urteils festzusetzen. Die Gebühr für das Kontrollverfahren (Ziffer 7 des Dispositivs) wird 30 Tage nach Eintritt der Rechtskraft dieses Entscheides zur Zahlung fällig.</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Der unterliegenden Vorinstanz können allerdings keine Verfahrenskosten auferlegt werden (Art. 63 Abs. 2 VwVG). Als im Wesentlichen unterliegende Partei hat die Beschwerdeführerin die Verfahrenskosten zu tragen (vgl. Art. 63 Abs. 1 VwVG), die sich aus der Gerichtsgebühr und den Auslagen zusammensetzen, zumal die Beschwerdeführerin das massgebliche Dokument (Beilage 5 zu BVGer act. 1) erst im Beschwerdeverfahren eingereicht hat. Sie werden unter Berücksichtigung des Umfanges und der Schwierigkeit der Streitsache im vorliegenden Verfahren auf Fr. 3'000.- festgesetzt (vgl. Art. 63 Abs. 4bis VwVG sowie Art. 1, 2 und 4 des Reglements vom 21. Februar 2008 über die Kosten und Entschädigungen vor dem Bundesverwaltungsgericht [VGKE, SR 173.320.2]) und mit dem bereits geleisteten Kostenvorschuss verrechnet.</w:t>
      </w:r>
    </w:p>
    <w:p>
      <w:r>
        <w:rPr>
          <w:b/>
        </w:rPr>
        <w:t>E. 7.2</w:t>
      </w:r>
    </w:p>
    <w:p>
      <w:r>
        <w:t>Nach Art. 64 Abs. 1 VwVG in Verbindung mit Art. 7 Abs. 1 VGKE kann die Beschwerdeinstanz der ganz oder teilweise obsiegenden Partei von Amtes wegen oder auf Begehren eine Parteientschädigung zusprechen. Nachdem die Beschwerdeführerin nicht durch einen Rechtsbeistand vertreten wurde und vorliegend von einem weitgehenden Unterliegen auszugehen ist, wird ihr keine Parteientschädigung zugesprochen. Keinen Anspruch auf Parteientschädigung hat auch die Vorinstanz (Art. 7 Abs. 3 VGKE). (Für das Dispositiv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