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C-4659/2012 vom 25. Oktober 2013</w:t>
      </w:r>
    </w:p>
    <w:p>
      <w:r>
        <w:t>Bundesverwaltungsgericht, 2013-10-25, DE</w:t>
      </w:r>
    </w:p>
    <w:p>
      <w:r>
        <w:rPr>
          <w:b/>
        </w:rPr>
        <w:t xml:space="preserve">Quelle: </w:t>
      </w:r>
      <w:r>
        <w:t>https://mcp.opencaselaw.ch/entscheid/bvger_C-4659_2012</w:t>
      </w:r>
    </w:p>
    <w:p>
      <w:r>
        <w:t>FR: TAF C-4659/2012 du 25 octobre 2013</w:t>
      </w:r>
    </w:p>
    <w:p>
      <w:r>
        <w:t>IT: TAF C-4659/2012 del 25 ottobre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Der Beschwerdeführer bringt vor, ihm sei keine Gelegenheit gegeben worden, das rechtliche Gehör auszuüben. Es sei ihm lediglich die Verfügung übergeben und auf Englisch, was er nur dürftig beherrsche, erklärt worden, dass er die Schweiz bzw. den Schengen-Raum bis Mitternacht des gleichen Tages verlassen müsse.</w:t>
      </w:r>
    </w:p>
    <w:p>
      <w:r>
        <w:rPr>
          <w:b/>
        </w:rPr>
        <w:t>E. 3.2</w:t>
      </w:r>
    </w:p>
    <w:p>
      <w:r>
        <w:t>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6. vollständig überarbeitete Aufl., Zürich / St. Gallen 2010, Rz. 1672 ff.; Alfred Kölz/Isabelle Häner, Verwaltungsverfahren und Verwaltungsrechtspflege des Bundes, 3. Aufl., Zürich 1998, Rz. 129 ff. und 292 ff.; Jörg Paul Müller/Markus Schefer, Grundrechte in der Schweiz, Bern 2008, S. 846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w:t>
      </w:r>
    </w:p>
    <w:p>
      <w:r>
        <w:rPr>
          <w:b/>
        </w:rPr>
        <w:t>E. 3.3</w:t>
      </w:r>
    </w:p>
    <w:p>
      <w:r>
        <w:t>Den Akten ist folgender Sachverhalt zu entnehmen: Am 15. August 2012 wurde der Beschwerdeführer aus der Haft entlassen. Gleichentags gewährte ihm das kantonale Migrationsamt das rechtliche Gehör zur Anordnung von Entfernungs- und Fernhaltemassnahmen und verfügte die Wegweisung aus der Schweiz. Diese Dokumente - inklusive Strafbefehl der Staatsanwaltschaft Basel-Stadt - wurden zusammen mit dem Antrag auf Erlass eines Einreiseverbots (vgl. Mail Huber/Guyot vom 15. August 2012) an die Vorinstanz übermittelt. Noch am selben Tag wurde die vorliegend angefochtene Fernhaltemassnahme erlassen. Das BFM konnte damit vorgängig die entscheidswesentlichen Akten zur Kenntnis nehmen und würdigen, weshalb eine Gehörsverletzung zu verneinen ist. Da zudem weder dem kantonalen Migrationsamt noch der Vorinstanz ein allfällig bestehendes Vertretungsverhältnis mitgeteilt worden war, erweist sich die Gewährung des rechtlichen Gehörs direkt an den Beschwerdeführer als korrekt.</w:t>
      </w:r>
    </w:p>
    <w:p>
      <w:r>
        <w:rPr>
          <w:b/>
        </w:rPr>
        <w:t>E. 4.1</w:t>
      </w:r>
    </w:p>
    <w:p>
      <w:r>
        <w:t>Art. 67 Abs. 2 Bst. a AuG sieht vor, dass das BFM ein Einreiseverbot gegen ausländische Personen erlassen kann, die gegen die öffentliche Sicherheit und Ordnung der Schweiz oder im Ausland verstossen haben oder diese gefährden. Das Einreiseverbot wird für eine Dauer von höch­stens fünf Jahren verhängt, es sei denn, die betroffene Person stelle eine schwerwiegende Gefahr für die öffentliche Sicherheit und Ordnung dar (vgl. Art. 67 Abs. 3 AuG). Schliesslich kann die Behörde aus humanitären oder anderen wichtigen Gründen von der Verhängung eines Einreiseverbots absehen oder ein Einreiseverbot vollständig oder vorübergehend aufheben (vgl. Art. 67 Abs. 5 AuG).</w:t>
      </w:r>
    </w:p>
    <w:p>
      <w:r>
        <w:rPr>
          <w:b/>
        </w:rPr>
        <w:t>E. 4.2</w:t>
      </w:r>
    </w:p>
    <w:p>
      <w:r>
        <w:t>Das Einreiseverbot ist eine Massnahme zur Abwendung einer künftigen Störung der öffentlichen Sicherheit und Ordnung (vgl. Botschaft zum Bundesgesetz über die Ausländerinnen und Ausländer vom 8. März 2002 [nachfolgend: Botschaft], BBl 2002 3709, hier 3813). Die öffentliche Sicherheit und Ordnung im Sinne von Art. 67 Abs. 2 Bst. a AuG bildet den Oberbegriff für die Gesamtheit der polizeilichen Schutzgüter; sie umfasst u.a. die Unverletzlichkeit der objektiven Rechtsordnung und der Rechtsgüter Einzelner (vgl. Botschaft, a.a.O.,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missachten werden. Die Verhängung eines Einreiseverbots knüpft an das Bestehen eines Risikos einer künftigen Gefährdung an. Gestützt auf die Umstände des Einzelfalls ist eine Prognose zu stellen. Ausgangspunkt ist dabei naturgemäss in erster Linie das vergangene Verhalten der betroffenen Person (vgl. Urteil des Bundesverwaltungsgerichts C 820/2009 vom 9. März 2011 E. 5.2 mit Hinweisen).</w:t>
      </w:r>
    </w:p>
    <w:p>
      <w:r>
        <w:rPr>
          <w:b/>
        </w:rPr>
        <w:t>E. 4.3</w:t>
      </w:r>
    </w:p>
    <w:p>
      <w:r>
        <w:t>Nach Massgabe der Art. 21 und Art. 24 der Verordnung (EG) Nr. 1987/2006 vom 20. Dezember 2006 über die Einrichtung, den Betrieb und die Nutzung des Schengener Informationssystems der zweiten Generation (SIS II), Abl. L 381 vom 28. Dezember 2006, S. 4 23 (nachfolgend SIS-II-VO) - die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 wird ein Einreiseverbot gegen Drittstaatsangehörige im Sinne von Art. 3 Bst. d SIS-II-VO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Gründung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5.1</w:t>
      </w:r>
    </w:p>
    <w:p>
      <w:r>
        <w:t>Die Vorinstanz stützt das Einreiseverbot auf Art. 67 AuG. Der Beschwerdeführer sei mit Strafbefehl der Staatsanwaltschaft L._______ vom 3. August 2012 wegen Diebstahls und Hausfriedensbruchs zu einer Freiheitsstrafe von 6 Monaten verurteilt worden. Angesichts dieses schweren Verstosses und der damit einhergehenden Gefährdung der öffentlichen Sicherheit und Ordnung sei der Erlass einer Fernhaltemassnahme angezeigt. Dass der Beschwerdeführer während einer Anwesenheit in der Schweiz straffällig geworden ist, geht aus den Akten klar hervor. Er trat wegen Diebstahls und Hausfriedensbruchs strafrechtlich in Erscheinung und wurde aus diesem Grund rechtskräftig verurteilt. Damit ist klar erstellt, dass er durch seine Straftat gegen die öffentliche Sicherheit und Ordnung im Sinne von Art. 67 Abs. 2 Bst. a AuG i.V.m. Art. 80 Abs.1 VZAE verstossen hat. Dass der Beschwerdeführer im Rahmen des Einspracheverfahrens mit Urteil des Strafgerichts des Kantons L._______ vom 27. März 2013 zu einer Geldstrafe von 120 Tagessätzen zu Fr. 20.- und damit zu einer milderen als der ursprünglich durch die Staatsanwaltschaft L._______ mit Strafbefehl vom 3. August 2012 verhängten unbedingten Freiheitsstrafe von sechs Monaten verurteilt wurde, ändert an dieser Einschätzung nichts.</w:t>
      </w:r>
    </w:p>
    <w:p>
      <w:r>
        <w:rPr>
          <w:b/>
        </w:rPr>
        <w:t>E. 5.2</w:t>
      </w:r>
    </w:p>
    <w:p>
      <w:r>
        <w:t>Der Beschwerdeführer bestreitet grundsätzlich nicht, dass er einen Diebstahl und Hausfriedensbruch begangen hat, und rügt vordringlich die Verletzung des Verhältnismässigkeitsprinzips, weil sich die Massnahme auf ein nicht rechtskräftiges Urteil stütze. Die Rüge, es könne kein Einreiseverbot verhängt werden, solange kein rechtskräftiges Urteil vorliege, ist unbegründet, zumal das Einreiseverbot nicht an die Erfüllung einer Strafnorm anknüpft, sondern an das Vorliegen einer Polizeigefahr (vgl. Urteil des Bundesverwaltungsgerichts C-8562/2010 vom 11. Oktober 2012 E. 6.2. sowie nachfolgend E. 4.3). Die verfügende Behörde ist deshalb nicht verpflichtet, einen rechtskräftigen Entscheid abzuwarten. Da vorliegend jedoch zwischenzeitlich ein solcher ergangenen ist, erübrigt sich diese Frage ohnehin. Insoweit sich der Beschwerdeführer auf die Bewegungsfreiheit und das Recht der Berufsausübung beruft, so sind diesbezügliche Einwendungen bei der Prüfung der Verhältnismässigkeit zu berücksichtigen (s. hinten E. 6.).</w:t>
      </w:r>
    </w:p>
    <w:p>
      <w:r>
        <w:rPr>
          <w:b/>
        </w:rPr>
        <w:t>E. 5.3</w:t>
      </w:r>
    </w:p>
    <w:p>
      <w:r>
        <w:t>Dass das Verhalten des Beschwerdeführers einmalig gewesen sein soll, ist vorliegend nicht von Belang. Massgebend ist das Vorliegen einer Polizeigefahr. Ob eine solche besteht und wie sie zu gewichten ist, hat die Behörde in eigener Kompetenz unter Zugrundelegung spezifisch ausländerrechtlicher Kriterien zu beurteilen. Der Beschwerdeführer hat somit durch die begangenen Delikte hinreichenden Anlass für die Verhängung eines Einreiseverbots gegeben.</w:t>
      </w:r>
    </w:p>
    <w:p>
      <w:r>
        <w:rPr>
          <w:b/>
        </w:rPr>
        <w:t>E. 6.1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6.2</w:t>
      </w:r>
    </w:p>
    <w:p>
      <w:r>
        <w:t>Das öffentliche Interesse an einer Fernhaltung des Beschwerdeführers ist schon aus präventiv-polizeilicher Sicht als gewichtig einzustufen. Ausländische Personen, die - wie der Beschwerdeführer - mit der Absicht in die Schweiz einreisen bzw. sich hier aufhalten, um Einbruchdiebstähle zu begehen, sind nach Möglichkeit von der Schweiz fernzuhalten. Es gilt durch eine kontinuierliche und strenge Verwaltungspraxis zu verdeutlichen, dass eine solche Delinquenz mit Fernhaltemassnahmen von gewisser Dauer geahndet wird. Der Schutz der öffentlichen Sicherheit und Ordnung ist dabei durch Abschreckung nicht nur des jeweiligen Straftäters, sondern auch anderer potenzieller Rechtsbrecher weitest möglich zu gewährleisten. Dass es sich bei der Verfehlung des Beschwerdeführers nicht lediglich um ein Bagatelldelikt handelt, manifestiert sich nicht zuletzt darin, dass die Freiheitsstrafe im Rechtsmittelverfahren zwar in eine Geldstrafe umgewandelt, diese aber dennoch unbedingt ausgesprochen wurde. Es steht ausser Frage, dass nach wie vor ein gewichtiges Interesse an der Fernhaltung des Beschwerdeführers besteht. Dieses Interesse hat sich jeweils an der Bedeutung der verletzten Rechtsgüter und den Umständen der Tatbegehung zu orientieren. Angesichts der verhängten Strafe von 120 Tagessätzen erscheint die Dauer des ausgesprochenen Einreiseverbots allerdings als unangemessen lang.</w:t>
      </w:r>
    </w:p>
    <w:p>
      <w:r>
        <w:rPr>
          <w:b/>
        </w:rPr>
        <w:t>E. 6.3</w:t>
      </w:r>
    </w:p>
    <w:p>
      <w:r>
        <w:t>Der Beschwerdeführer bringt als persönliches Interesse vor, er sei Lastwagenfahrer. Da Bosnien ein Importstaat sei, gebe es keine Stelle, bei welcher die Ware nicht im Ausland, vor allem in Slowenien, Italien, Österreich und Spanien abgeholt werden müsse. Durch das Einreiseverbot werde ihm seine Lebensgrundlage vollständig entzogen; eine andere Anstellung bei einer Arbeitslosenrate von über 45% sei utopisch. Dass sich der Beschwerdeführer derzeit in einem Arbeitsverhältnis befinden soll, wird indessen weder behauptet noch belegt. Ebenso wenig ist die Feststellung, es gebe für Lastwagenfahrer keine Anstellung, bei welcher die Ware nicht auch in Schengen-Staaten abgeholt werden müsse, geeignet, ein persönliches Interesse zu begründen, zumal sie lediglich theoretischer Natur und ebenfalls nicht belegt ist. Auch der Hinweis auf die hohe Arbeitslosenquote vermag daran nichts zu ändern; allgemeine Feststellungen hinsichtlich der wirtschaftlichen Lage eines Landes begründen kein persönliches Interesse gegen eine Fernhaltemassnahme. Folglich rechtfertigen die dargelegten Gründe nicht, von einem Einreiseverbot oder de Ausschreibung im SIS abzusehen und der Beschwerdeführer hat die damit einhergehenden Einschränkungen hinzunehmen. Sodann steht es jedem Schengen-Staat frei, trotz SIS-Ausschreibung dem Beschwerdeführer auf begründetes Gesuch hin aus wichtigen Gründen eine Einreisebewilligung zu erteilen (vgl. Art. 5 Abs. 4 Bst. d SGK sowie Art. 67 Abs. 5 AuG).</w:t>
      </w:r>
    </w:p>
    <w:p>
      <w:r>
        <w:rPr>
          <w:b/>
        </w:rPr>
        <w:t>E. 6.4</w:t>
      </w:r>
    </w:p>
    <w:p>
      <w:r>
        <w:t>Zusammenfassend führt eine wertende Gewichtung der gegenläufi­gen öffentlichen und privaten Interessen zum Ergebnis, dass das Einreiseverbot dem Grundsatze nach zu bestätigen ist, in der ausgesproche­nen Dauer von fünf Jahren jedoch, unter Berücksichtigung der gängigen Praxis in vergleichbaren Fällen, als unangemessen lang erscheint. In Würdigung der gesamten Umstände ist davon auszugehen, dass dem öffentli­chen Interesse an der Fernhaltung des Beschwerdeführers mit einem Einrei­severbot von drei Jahren hinreichend Rechnung getragen wird.</w:t>
      </w:r>
    </w:p>
    <w:p>
      <w:r>
        <w:rPr>
          <w:b/>
        </w:rPr>
        <w:t>E. 7</w:t>
      </w:r>
    </w:p>
    <w:p>
      <w:r>
        <w:t>Der Beschwerdeführer ist nicht Staatsangehöriger eines EU-Staates. Aufgrund der Ausschreibung im SIS ist es ihm untersagt, den Schengen-Raum zu betreten. Der darin liegende Eingriff wird durch die Bedeutung des Falles gerechtfertigt (vgl. Art. 21 i.V.m. Art. 24 Abs. 2 SIS-II-Verordnung).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8</w:t>
      </w:r>
    </w:p>
    <w:p>
      <w:r>
        <w:t>Aus diesen Erwägungen folgt, dass das auf fünf Jahre bemessene Einrei­severbot Bundesrecht verletzt (vgl. Art. 49 VwVG). Die Beschwerde ist daher teilweise gutzuheissen und das gegen den Beschwerdeführer ver­hängte Einreiseverbot auf drei Jahre, bis zum 15. August 2015, zu befristen.</w:t>
      </w:r>
    </w:p>
    <w:p>
      <w:r>
        <w:rPr>
          <w:b/>
        </w:rPr>
        <w:t>E. 9.1</w:t>
      </w:r>
    </w:p>
    <w:p>
      <w:r>
        <w:t>Bei diesem Verfahrensausgang würde der Beschwerdeführer grundsätzlich teilweise kostenpflichtig (Art. 63 Abs. 1 VwVG i.V.m. Art. 1, Art. 2 und Art. 3 Bst. b des Reglements vom 21. Februar 2008 über die Kosten und Entschädigungen vor dem Bundesverwaltungsgericht [VGKE, SR 173.320]). Der Beschwerdeführer ersuchte jedoch in der Beschwerde vom 14. September 2012 um Gewährung der unentgeltlichen Rechtspflege samt Rechtsverbeiständung.</w:t>
      </w:r>
    </w:p>
    <w:p>
      <w:r>
        <w:rPr>
          <w:b/>
        </w:rPr>
        <w:t>E. 9.2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w:t>
      </w:r>
    </w:p>
    <w:p>
      <w:r>
        <w:rPr>
          <w:b/>
        </w:rPr>
        <w:t>E. 9.3</w:t>
      </w:r>
    </w:p>
    <w:p>
      <w:r>
        <w:t>Die Voraussetzungen von Art. 65 Abs. 1 und 2 VwVG sind erfüllt, weil das eingereichte Rechtsmittel nicht als aussichtslos bezeichnet werden kann und die prozessuale Bedürftigkeit des Betroffenen offensichtlich ist sowie die Beigabe eines Anwalts geboten war. Das Gesuch um unentgeltliche Rechtspflege samt Verbeiständung ist gutzuheissen, soweit dies nicht infolge teilweisen Obsiegens gegenstandslos geworden ist. Es sind daher keine Verfahrenskosten aufzuerlegen. Entsprechend dem Ausgang des Verfahrens hat die Vorinstanz dem Beschwerdeführer eine reduzierte Parteientschädigung zu bezahlen (Art. 7 Abs. 2 VGKE) und der unentgeltlichen Rechtsvertreterin ist ein Honorar auszurichten.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