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C-4656/2008 vom 3. November 2010</w:t>
      </w:r>
    </w:p>
    <w:p>
      <w:r>
        <w:t>Bundesverwaltungsgericht, 2010-11-03, FR</w:t>
      </w:r>
    </w:p>
    <w:p>
      <w:r>
        <w:rPr>
          <w:b/>
        </w:rPr>
        <w:t xml:space="preserve">Quelle: </w:t>
      </w:r>
      <w:r>
        <w:t>https://mcp.opencaselaw.ch/entscheid/bvger_C-4656_2008</w:t>
      </w:r>
    </w:p>
    <w:p>
      <w:r>
        <w:t>FR: TAF C-4656/2008 du 3 novembre 2010</w:t>
      </w:r>
    </w:p>
    <w:p>
      <w:r>
        <w:t>IT: TAF C-4656/2008 del 3 novembre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fournie dans le délai (cf. TAF pce 7),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4.1</w:t>
      </w:r>
    </w:p>
    <w:p>
      <w:r>
        <w:t>Le recourant a présenté sa deuxième demande de rente le 31 mai 2006, une précédente demande de rente ayant été rejetée par décision du 6 mai 2004 entrée en force. 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w:t>
      </w:r>
    </w:p>
    <w:p>
      <w:r>
        <w:rPr>
          <w:b/>
        </w:rPr>
        <w:t>E. 4.2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cas échéant, de la décision de refus d'entrer en matière sur la nouvelle demande (arrêt du Tribunal fédéral I 187/05 du 11 mai 2006, voir ég.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Ces principes, développés par la jurisprudence en relation avec la nouvelle demande de prestations (art. 87 al. 3 et 4 RAI), sont également applicables, par analogie, à la demande de révision (ATF 130 V 73 consid. 3, 109 V 264 consid. 3).</w:t>
      </w:r>
    </w:p>
    <w:p>
      <w:r>
        <w:rPr>
          <w:b/>
        </w:rPr>
        <w:t>E. 5</w:t>
      </w:r>
    </w:p>
    <w:p>
      <w:r>
        <w:t>Par décision du 6 mai 2004 entrée en force, une première demande de rente a été rejeté faute d'invalidité relevante pour ouvrir un droit aux prestations demandées. Le recourant a présenté sa deuxième demande de rente le 31 mai 2006.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31 mai 2005, soit 12 mois avant le dépôt de la demande, ou si le droit à une rente était né entre cette date et le 22 mai 2008, date de la décision attaquée marquant la limite dans le temps du pouvoir d'examen de l'autorité de recours (ATF 130 V 445 consid. 1 et les références).</w:t>
      </w:r>
    </w:p>
    <w:p>
      <w:r>
        <w:rPr>
          <w:b/>
        </w:rPr>
        <w:t>E. 6</w:t>
      </w:r>
    </w:p>
    <w:p>
      <w:r>
        <w:t>Selon les normes applicables, tout requérant, pour avoir droit à une rente de l'assurance-invalidité suisse, doit remplir cumulativement les conditions suivantes: - être invalide au sens de la LPGA et de la LAI (art. 8 LPGA, art.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7.3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8.1</w:t>
      </w:r>
    </w:p>
    <w:p>
      <w:r>
        <w:t>L'assuré a exercé en Suisse une activité de 1985 à 2000. De retour en Espagne, il a exercé une activité de plombier à plein temps du 14 janvier au 22 avril 2002. C'est au regard de cette dernière activité que l'OAIE a examiné la capacité de travail résiduelle de l'intéressée.</w:t>
      </w:r>
    </w:p>
    <w:p>
      <w:r>
        <w:rPr>
          <w:b/>
        </w:rPr>
        <w:t>E. 8.2</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8.3</w:t>
      </w:r>
    </w:p>
    <w:p>
      <w:r>
        <w:t>Selon la jurisprudence,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9.1</w:t>
      </w:r>
    </w:p>
    <w:p>
      <w:r>
        <w:t>En l'espèce, il est établi que l'intéressé souffre de sarcoïdose pulmonaire et cardiaque de stade II en rémission, d'hypercholestérolémie et d'hypoacousie bilatérale modérée dégénérative nécessitant le port d'une prothèse auditive, avec stimulateur cardiaque normo-fonctionnant.</w:t>
      </w:r>
    </w:p>
    <w:p>
      <w:r>
        <w:rPr>
          <w:b/>
        </w:rPr>
        <w:t>E. 9.2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10.1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?uvre une expertise lorsqu'il apparaît nécessaire de clarifier les aspects médicaux du cas (ATF 117 V 282 consid. 4a).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10.3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11.1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11.2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12</w:t>
      </w:r>
    </w:p>
    <w:p>
      <w:r>
        <w:t>En l'espèce il n'est pas contesté que la situation médicale du recourant se soit détériorée entre les deux demandes de prestations. Il y a en effet péjoration de l'hypoacousie et l'appareil auditif est mal supporté. L'intéressé a en outre été hospitalisé, le 26 août 2006 pour malaise, nausées et palpitations et une tachycardie ventriculaire monomorphe soutenue est constatée. Il souffre encore d'une sarcoïdose stade II pulmonaire en rémission, avec répercussion cardiaque et de dyslipidémie. Le rapport E 213 du 10 juillet 2006 fait également mention d'un état dépressif réactionnel, toutefois aucunement documenté et n'apparaissant dans aucun autre document médical versé en cause, de sorte que cette affection ne peut être retenue. L'ensemble des médecins consultés sont d'avis que l'incapacité de travail pour l'activité de plombier est entière. Toutefois, tant le service médical de l'INSS, dans son rapport E 213 du 10 juillet 2006 (pce 111), que la cardiologue P._______ dans ses certificats médicaux des 17 février 2007 et 17 décembre 2008 (pce 109 et annexe TAF pce 8) sont d'avis que le recourant est à même d'exercer une activité de substitution, légère, sans stress ni exposition au froid, à la chaleur, à la fumée, ou aux champs magnétiques, et en évitant les efforts physiques. La Dresse K._______, médecin au service médical de l'OAIE va dans le même sens (pces 113, 125 et 134). Seule la Dresse E._______ maintient, dans son certificat médical du 9 avril 2008 (pce 118), que la conjonction des différentes pathologies limite le patient dans la réalisation d'une vie professionnelle normale. Or, ce certificat médical est fort succinct et ne remplit à l'évidence pas les conditions jurisprudentielles nécessaires pour valoir moyen de preuve. Par ailleurs, le rapport médical du Dr O._______ du 30 juillet 2007 relève un état stable avec fonction respiratoire conservée (pce 123). Rien au dossier ne permet de mettre en doute l'appréciation du service médical de l'OAIE selon lequel l'intéressé peut exercer une activité légère adaptée sans port de poids de plus de 5 kilos, à l'abri du froid et de l'humidité, avec marche limitée, peu de stress, en évitant les nuisances telles que la poussière, les émanations, les intempéries. Le Tribunal de céans peut donc confirmer le bien-fondé d'une pleine capacité de travail dans une activité légère adaptée telles celles proposées par l'OAIE.</w:t>
      </w:r>
    </w:p>
    <w:p>
      <w:r>
        <w:rPr>
          <w:b/>
        </w:rPr>
        <w:t>E. 13</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13.1</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13.2</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14.1</w:t>
      </w:r>
    </w:p>
    <w:p>
      <w:r>
        <w:t>En l'espèce il y a lieu de procéder à une évaluation de l'invalidité selon la méthode générale par une comparaison de revenus sur la base de l'Enquête suisse sur la structure des salaires 2006.</w:t>
      </w:r>
    </w:p>
    <w:p>
      <w:r>
        <w:rPr>
          <w:b/>
        </w:rPr>
        <w:t>E. 14.2</w:t>
      </w:r>
    </w:p>
    <w:p>
      <w:r>
        <w:t>L'OAIE a retenu à raison comme base de comparaison sans invalidité le revenu obtenu par le recourant en 2000, indexé sur la base de l'année 2006, soit un salaire mensuel de Fr. 4'683.87.</w:t>
      </w:r>
    </w:p>
    <w:p>
      <w:r>
        <w:rPr>
          <w:b/>
        </w:rPr>
        <w:t>E. 14.3</w:t>
      </w:r>
    </w:p>
    <w:p>
      <w:r>
        <w:t>Le salaire après invalidité est fixé sur la base des données statistiques résultant de l'Enquête suisse sur les salaires 2006 (table TA1), en l'occurrence celles des activités de substitution proposées par la Dresse K._______, soit Fr. 4'558.32 correspondant aux revenus dans le commerce de détail et la réparation d'articles domestiques (Fr. 4'383.-), sous déduction de 10% dès le 26 août 2006 pour tenir compte des circonstances personnelles et professionnelles du cas particulier, et des restrictions aux activités légères, soit Fr. 4'102.49. Ces activités n'étant exigibles, dès cette date, qu'à 60%, le salaire d'invalide déterminant est donc de Fr. 2'461.49 (Fr. 4'102.49 x 60%). Les activités proposées peuvent être exercées sans efforts moyennement importants, en position assise ou autorisant le changement de position, sans port de charges de plus de 5 kilos, en un lieu tempéré non humide, de sorte que ces activités sont adaptées au handicap du recourant. De plus, ce type d'activité ne nécessite pas de formation particulière autre qu'une mise au courant initiale.</w:t>
      </w:r>
    </w:p>
    <w:p>
      <w:r>
        <w:rPr>
          <w:b/>
        </w:rPr>
        <w:t>E. 14.4</w:t>
      </w:r>
    </w:p>
    <w:p>
      <w:r>
        <w:t>En comparant le salaire avant invalidité de Fr. 4'683.87 avec celui après invalidité de Fr. 2'461.49, on obtient une perte de gain de 47.45% arrondie à 48% ([4'683.87 - 2'461.49] : 4'683.87 x 100). Le calcul opéré par l'OAIE ne prête ainsi pas flanc à la critique. Dès lors, la décision attaquée doit être confirmée sur ce point. Quant au calcul même du montant de la rente, le recourant n'apporte aucun élément permettant de constater une erreur de la part de l'autorité de première instance. Ainsi, il n'a pas contesté le relevé des périodes d'assurance et des revenus pris en compte pour le calcul de la prestation de sorte que le recours doit être également rejeté sur ce point.</w:t>
      </w:r>
    </w:p>
    <w:p>
      <w:r>
        <w:rPr>
          <w:b/>
        </w:rPr>
        <w:t>E. 15</w:t>
      </w:r>
    </w:p>
    <w:p>
      <w:r>
        <w:t>Le recourant relève que la rente versée ne lui permet pas de survivre.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Il convient également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Ce grief doit donc être rejeté.</w:t>
      </w:r>
    </w:p>
    <w:p>
      <w:r>
        <w:rPr>
          <w:b/>
        </w:rPr>
        <w:t>E. 16</w:t>
      </w:r>
    </w:p>
    <w:p>
      <w:r>
        <w:t>Enfin, le recourant ne peut tirer argument du fait qu'il a été reconnu invalide à 100% dans son pays d'origine. En effet, l'octroi d'une rente étrangère d'invalidité ne préjuge pas l'appréciation de l'invalidité selon la loi suisse (ATF 130 V 253 consid. 2.4; arrêt du Tribunal fédéral I 435/02 du 4 février 2003 consid. 2; Revue à l'intention des caisses de compensation [RCC] 1989 p. 330).</w:t>
      </w:r>
    </w:p>
    <w:p>
      <w:r>
        <w:rPr>
          <w:b/>
        </w:rPr>
        <w:t>E. 17.1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17.2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