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C-4653/2018 vom 3. April 2020</w:t>
      </w:r>
    </w:p>
    <w:p>
      <w:r>
        <w:t>Bundesverwaltungsgericht, 2020-04-03, DE</w:t>
      </w:r>
    </w:p>
    <w:p>
      <w:r>
        <w:rPr>
          <w:b/>
        </w:rPr>
        <w:t xml:space="preserve">Quelle: </w:t>
      </w:r>
      <w:r>
        <w:t>https://mcp.opencaselaw.ch/entscheid/bvger_C-4653_2018</w:t>
      </w:r>
    </w:p>
    <w:p>
      <w:r>
        <w:t>FR: TAF C-4653/2018 du 3 avril 2020</w:t>
      </w:r>
    </w:p>
    <w:p>
      <w:r>
        <w:t>IT: TAF C-4653/2018 del 3 aprile 2020</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(BVGer act. 4), ist auf die frist- und formgerecht eingereichte Beschwerde einzutreten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deutscher Staatsangehöriger mit aktuellem Aufenthalt in Thailand. Zwischen der Schweiz und Thailand besteht kein Staatsvertrag über Leistungen der Alters-, Hinterlassenen- und Invalidenversicherung. Zu beachten sind aber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Seit dem 1. Januar 2015 sind auch die durch die Verordnungen (EU) Nr. 1244/2010, Nr. 465/2012 und Nr. 1224/ 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15. Juni 2018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w:t>
      </w:r>
    </w:p>
    <w:p>
      <w:r>
        <w:rPr>
          <w:b/>
        </w:rPr>
        <w:t>E. 3.3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3.4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w:t>
      </w:r>
    </w:p>
    <w:p>
      <w:r>
        <w:t>Im Folgenden ist zu prüfen, ob die Vorinstanz die ganze Invalidenrente des Beschwerdeführers mit Verfügung vom 15. Juni 2018 zu Recht aufgehoben hat.</w:t>
      </w:r>
    </w:p>
    <w:p>
      <w:r>
        <w:rPr>
          <w:b/>
        </w:rPr>
        <w:t>E. 5.1</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Eine Revisionsverfügung gilt dann als Vergleichsbasis, wenn sie die ursprüngliche Rentenverfügung nicht bestätigt, sondern die laufende Rente aufgrund eines neu festgesetzten Invaliditätsgrades geändert hat. Dabei kommt einer Verfügung, welche die ursprüngliche Rentenverfügung bloss bestätigt, bei der Bestimmung der zeitlichen Vergleichsbasis keine Rechtserheblichkeit zu (vgl. BGE 109 V 262 E. 4a; BGE 130 V 71 E. 3.2.3). Dies gilt im vorliegenden Fall mit Blick auf die Mitteilung der IV-Stelle D._______ vom 10. März 2016, mit der die ganze Invalidenrente bestätigt wurde (act. 37). Als Vergleichsbasis kommt damit nur die Verfügung vom 11. Juni 2015 in Betracht, mit der dem Versicherten mit Wirkung ab 1. März 2015 eine ganze Invalidenrente zugesprochen wurde (Invaliditätsgrad von 100 %; act. 28; vgl. auch den für die erstmalige Berentung massgeblichen RAD-Aktenbericht in act. 24).</w:t>
      </w:r>
    </w:p>
    <w:p>
      <w:r>
        <w:rPr>
          <w:b/>
        </w:rPr>
        <w:t>E. 5.2</w:t>
      </w:r>
    </w:p>
    <w:p>
      <w:r>
        <w:t>Im polydisziplinären Gutachten der (Abklärungsstelle) F._______ vom 20. November 2017 wurde aus onkologischer Sicht von einem erfreulichen Verlauf berichtet. Die Gutachter stellten im Vergleich mit dem Zustand am 11. Juni 2015 explizit eine Verbesserung der gesundheitlichen Situation fest (act. 57, Seite 44). Ab Juli 2016 bzw. ab Januar 2017 attestierten sie dem Versicherten ein teilweise wiedererlangtes Leistungsvermögen. Damit ist ein Revisionsgrund ausgewiesen. Gestützt auf das beweiskräftige polydisziplinäre Gutachten ist davon auszugehen, dass der Beschwerdeführer in einer adaptierten Tätigkeit, wie sie von den Gutachtern detailliert beschrieben wurde, ab Januar 2017 wieder zu 70 % arbeitsfähig ist (act. 57, Seite 40 ff.). Diese nachvollziehbare Einschätzung wird auch vom Beschwerdeführer nicht in Frage gestellt.</w:t>
      </w:r>
    </w:p>
    <w:p>
      <w:r>
        <w:rPr>
          <w:b/>
        </w:rPr>
        <w:t>E. 6</w:t>
      </w:r>
    </w:p>
    <w:p>
      <w:r>
        <w:t>Zur Invaliditätsbemessung im Rahmen eines Einkommensvergleichs ist Folgendes festzuhalten:</w:t>
      </w:r>
    </w:p>
    <w:p>
      <w:r>
        <w:rPr>
          <w:b/>
        </w:rPr>
        <w:t>E. 6.1.1</w:t>
      </w:r>
    </w:p>
    <w:p>
      <w:r>
        <w:t>Für die Ermittlung des Valideneinkommens ist nach der Rechtsprechung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das ohne gesundheitliche Beeinträchtigung realisierbare Einkommen nicht konkret ermitteln oder 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 des BGer 8C_934/2015 vom 9. Mai 2016 E. 2.2; Urteil des BGer 8C_379/2017 vom 8. September 2017 E. 3.2.1).</w:t>
      </w:r>
    </w:p>
    <w:p>
      <w:r>
        <w:rPr>
          <w:b/>
        </w:rPr>
        <w:t>E. 6.1.2</w:t>
      </w:r>
    </w:p>
    <w:p>
      <w:r>
        <w:t>Der Versicherte war gemäss dem unbefristeten Einsatzvertrag vom 13. Juni 2013 bei der B._______ AG temporär als Chemikant angestellt. Vom 24. Juni 2013 bis zum letzten effektiven Arbeitstag am 21. März 2014 wurde er bei der C._______ AG eingesetzt. Er wurde zum Stundenlohn von Fr. 36.82 entschädigt und verdiente von Juli bis Dezember 2013 insgesamt Fr. 41'752.90 brutto (act. 2, 16, Seite 2, 3, 9, 14). Da B._______ im Arbeitgeberfragebogen angab, das Beschäftigungsverhältnis sei per 15. Dezember 2014 wegen der Lagerreduktion beim Kunden (C._______) aufgelöst worden («Auftragslage schlecht»), kann nicht angenommen werden, dass der Versicherte 2017 immer noch temporär bei B._______ angestellt gewesen wäre. Gleichwohl stellt das seinerzeitige Einkommen - als regulärer «Marktlohn» eines gelernten Chemikanten - einen gewichtigen Anhaltspunkt für die wirtschaftliche Leistungsfähigkeit des Versicherten dar. Es ist mit überwiegender Wahrscheinlichkeit davon auszugehen, dass der Versicherte 2017 im Gesundheitsfall als Chemikant ein ähnliches Einkommen wie im zweiten Halbjahr 2013 erzielt hätte. Somit ist für das Valideneinkommen auf dieses konkrete Einkommen abzustellen. Das Valideneinkommen beträgt unter Berücksichtigung der Nominallohnentwicklung von 2013 bis 2017 Fr. 85'211.- (Fr. 41'752.90 x 2 = Fr. 83'505.80; Fr. 83'505.80 : 2204 x 2249). Das Vorgehen der Vorinstanz, die gestützt auf den LSE-Tabellenlohn für eine Tätigkeit auf dem Kompetenzniveau 2 im verarbeitenden Gewerbe bzw. in der Herstellung von Waren (Wirtschaftszweige 10 - 33) von einem erheblich tieferen Valideneinkommen von Fr. 74'034.- ausging (act. 73), vermag demgegenüber nicht zu überzeugen. Der Beschwerdeführer legte seiner unaufgeforderten Eingabe vom 29. Januar 2019 zudem eine Bescheinigung der C._______ bei, wonach er in der engeren Auswahl für eine Festanstellung als «Chemiefachmann» stand, der Interviewprozess aufgrund der Erkrankung aber nicht fortgeführt werden konnte (BVGer act. 13). Die Aussichten auf eine Festanstellung können an dieser Stelle nicht abschliessend abgeschätzt werden. Es ist aber anzunehmen, dass der Versicherte im Falle einer Festanstellung mindestens das gleiche Einkommen wie als temporär Beschäftigter erzielt hätte. Auch ein höheres Einkommen scheint denkbar.</w:t>
      </w:r>
    </w:p>
    <w:p>
      <w:r>
        <w:rPr>
          <w:b/>
        </w:rPr>
        <w:t>E. 6.2</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 An die Konkretisierung von Arbeitsgelegenheiten und Verdienstaussichten sind mithin keine übermässigen Anforderungen zu stellen (vgl. dazu im Einzelnen SVR 2008 IV Nr. 62 S. 203, 9C_830/2007 E. 5.1). Unter Berücksichtigung eines ausgeglichenen Arbeitsmarkts ist ohne Weiteres davon auszugehen, dass der Versicherte seine Restarbeitsfähigkeit von 70 % in einer adaptierten Tätigkeit verwerten kann. Demzufolge ist ihm ein (hypothetisches) Invalideneinkommen anzurechnen.</w:t>
      </w:r>
    </w:p>
    <w:p>
      <w:r>
        <w:rPr>
          <w:b/>
        </w:rPr>
        <w:t>E. 6.3.1</w:t>
      </w:r>
    </w:p>
    <w:p>
      <w:r>
        <w:t>Für die Festsetzung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 wobei grundsätzlich immer die aktuellsten statistischen Daten zu verwenden sind (BGE 143 V 295 E. 2.3). 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6.3.2</w:t>
      </w:r>
    </w:p>
    <w:p>
      <w:r>
        <w:t>Der Beschwerdeführer hat nach Eintritt des Gesundheitsschadens keine zumutbare neue Erwerbstätigkeit mehr aufgenommen. Demzufolge ist sein Invalideneinkommen auf der Grundlage der Tabelle TA1 der LSE 2014 zu bemessen. Im polydisziplinären Gutachten wurde explizit festgehalten, dass in der angestammten Tätigkeit als Chemikant (aufgrund der glaubwürdig geschilderten körperlichen Beanspruchung) keine Arbeitsfähigkeit mehr besteht. Die Arbeitsfähigkeit in einer detailliert beschriebenen, adaptierten Verweistätigkeit wurde ab 1. Januar 2017 mit 70 % angegeben (act. 57, Seite 42, 43; act. 63). Der Onkologe der (Abklärungsstelle) F._______ führte mit ergänzendem Schreiben vom 8. Januar 2018 auf die Nachfrage der IV-Stelle D._______ relativierend aus, «sofern die genannten Einschränkungen (einer adaptierten) Tätigkeit berücksichtigt werden und der Explorand zum Beispiel vermehrt im Schwerpunkt Controlling (als Operator) eingesetzt werden kann, steht einer Wiederaufnahme einer Tätigkeit als entsprechend spezialisierter Chemikant aus gesundheitlichen Gründen aus onkologischer Sicht nichts im Wege» (act. 63; vgl. auch act. 57, Seite 39). Diesbezüglich ist indessen fraglich, ob die «spezialisierte» Tätigkeit als Operator ohne zusätzliche Befähigungsmassnahme «ad hoc» ausgeübt werden könnte - der Beschwerdeführer bestreitet es (BVGer act. 8). Zudem scheint fraglich, ob diese im Detail nicht beschriebene Tätigkeit mit der (auch vom Onkologen anerkannten) «Erschöpfungsproblematik (tumor- und behandlungsassoziierte Fatigue), der Dekonditionierung und Kraftlosigkeit» sowie der «Dumping-Problematik mit imperativem Stuhldrang» vereinbar ist und überdies in Teilzeit ausgeübt werden kann (act. 57, Seite 39, 43; vgl. auch BVGer act. 13). Die Vorinstanz hat diesem Einwand Rechnung getragen, indem sie bei der Bemessung des Valideneinkommens auf den Totalwert der LSE für eine Tätigkeit auf dem (tiefsten) Kompetenzniveau 1 ausgewichen ist, das keine berufliche Ausbildung voraussetzt. Entsprechend der attestierten Arbeitsfähigkeit hat sie den betreffenden Tabellenlohn (Totalwert für Männer) nur zu 70 % angerechnet. Das Invalideneinkommen betrug demzufolge (bezogen auf das Jahr 2016) Fr. 46'915.- (act. 73). Dieses Vorgehen, das sich im Ergebnis zu Gunsten des Versicherten auswirkt, scheint sachgerecht. Es entspricht der allgemeinen Regel und eröffnet dem (immer noch) erheblich beeinträchtigten Beschwerdeführer ein denkbar breites Spektrum an möglichen Verweistätigkeiten - gegebenenfalls auch ausserhalb der Herstellung von chemischen und pharmazeutischen Erzeugnissen.</w:t>
      </w:r>
    </w:p>
    <w:p>
      <w:r>
        <w:rPr>
          <w:b/>
        </w:rPr>
        <w:t>E. 6.4.1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6.4.2</w:t>
      </w:r>
    </w:p>
    <w:p>
      <w:r>
        <w:t>Im vorliegenden Fall ist beachtlich, dass dem Beschwerdeführer aufgrund seiner Ausbildung und langjährigen Berufserfahrung auch adaptierte (körperlich leichte) Verweistätigkeiten in der «Herstellung von chemischen und pharmazeutischen Erzeugnissen» offenstehen (Wirtschaftszweige 20, 21), die im Vergleich mit dem herangezogenen Totalwert der LSE 2014 von Fr. 5'312.- weitaus besser bezahlt werden. So beläuft sich der Tabellenlohn eines Mannes für eine Tätigkeit auf dem (tiefsten) Kompetenzniveau 1 im Wirtschaftszweig 20 (Chemie) auf Fr. 6'640.-. Die Tabellenlöhne im Wirtschaftszweig 21 (Pharma) liegen sogar noch höher, der angegebene Wert für das Kompetenzniveau 1 von Fr. 8'432.- ist aber statistisch unsicher. In Anbetracht der besseren Verdienstmöglichkeiten in den Wirtschaftszweigen 20 und 21 ist das vom Totalwert für ungelernte Tätigkeiten abgeleitete Invalideneinkommen - entgegen den Ausführungen der IV-Stelle D._______ (BVGer act. 6) - nicht zusätzlich zu kürzen. Ohne einen leidensbedingten Abzug, aber unter Berücksichtigung einer betriebsüblichen Arbeitszeit von 41.7 Stunden pro Woche und der Nominallohnentwicklung von 2014 bis 2017 resultiert ein Valideneinkommen von Fr. 47'125.-.</w:t>
      </w:r>
    </w:p>
    <w:p>
      <w:r>
        <w:rPr>
          <w:b/>
        </w:rPr>
        <w:t>E. 6.5</w:t>
      </w:r>
    </w:p>
    <w:p>
      <w:r>
        <w:t>Ausgehend von einem Valideneinkommen von Fr. 85'211.- und einem Valideneinkommen von Fr. 47'125.- resultiert (2017) eine Erwerbseinbusse von Fr. 38'086.-. Damit beläuft sich der Invaliditätsgrad auf 45 %, womit der Versicherte - unter Vorbehalt des Wohnsitz- und Aufenthaltserfordernisses nach Art. 29 Abs. 4 IVG i.V.m. Art. 7 VO [EG] 883/2004 - Anspruch auf eine Viertelsrente hat (vgl. die Erwägung 3.4). Der Beschwerdeführer teilte im November 2019 mit, er sei nach Thailand ausgewandert (BVGer act. 15). Demnach scheint er das Wohnsitz- und Aufenthaltserfordernisses aktuell nicht mehr zu erfüllen. Die Vorinstanz hat dementsprechend vor dem Erlass der neuen Verfügung zu prüfen, ob bzw. bis wann der Anspruch auf die Viertelsrente zu befristen ist.</w:t>
      </w:r>
    </w:p>
    <w:p>
      <w:r>
        <w:rPr>
          <w:b/>
        </w:rPr>
        <w:t>E. 7</w:t>
      </w:r>
    </w:p>
    <w:p>
      <w:r>
        <w:t>Zusammenfassend ist festzuhalten, dass sich die Beschwerde mit Blick auf das Valideneinkommen, das von der Vorinstanz zu tief angesetzt wurde, als begründet erweist. Der Beschwerdeführer hat mit Wirkung ab 1. August 2018 - unter Vorbehalt des Wohnsitz- und Aufenthaltserfordernisses nach Art. 29 Abs. 4 IVG i.V.m. Art. 7 VO [EG] 883/2004 - bei einem Invaliditätsgrad von 45 % Anspruch auf eine Viertelsrente der schweizerischen Invalidenversicherung. Die angefochtene Verfügung ist dahingehend abzuändern. Die Beschwerde ist in diesem Sinne gutzuheissen. Die Vorinstanz wird angewiesen, vor dem Erlass der neuen Verfügung zu prüfen, ob bzw. bis wann der Anspruch auf die Viertelsrente zu befristen ist.</w:t>
      </w:r>
    </w:p>
    <w:p>
      <w:r>
        <w:rPr>
          <w:b/>
        </w:rPr>
        <w:t>E. 8.1</w:t>
      </w:r>
    </w:p>
    <w:p>
      <w:r>
        <w:t>Das Beschwerdeverfahren ist kostenpflichtig (Art. 69 Abs. 1bis i.V.m. Art. 69 Abs. 2 IVG), wobei die Verfahrenskosten grundsätzlich der unterliegenden Partei auferlegt werden (Art. 63 Abs. 1 VwVG). Dem obsiegenden Beschwerdeführer sind keine Verfahrenskosten aufzuerlegen, weshalb ihm der geleistete Kostenvorschuss von Fr. 800.- nach Eintritt der Rechtskraft dieses Urteils zurückzuerstatten ist (BVGer act. 4). Der Vorinstanz sind ebenfalls keine Verfahrenskosten aufzuerlegen (vgl. Art. 63 Abs. 2 VwVG).</w:t>
      </w:r>
    </w:p>
    <w:p>
      <w:r>
        <w:rPr>
          <w:b/>
        </w:rPr>
        <w:t>E. 8.2</w:t>
      </w:r>
    </w:p>
    <w:p>
      <w:r>
        <w:t>Dem nicht anwaltlich vertretenen Beschwerdeführer sind durch das Beschwerdeverfahren keine unverhältnismässig hohen Kosten entstanden, weshalb ihm keine Parteientschädigung zuzusprechen ist (vgl. Art. 64 Abs. 1 VwVG i.V.m. Art. 7 Abs. 4 des Reglements vom 21. 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