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C-4652/2013 vom 4. Dezember 2014</w:t>
      </w:r>
    </w:p>
    <w:p>
      <w:r>
        <w:t>Bundesverwaltungsgericht, 2014-12-04, FR</w:t>
      </w:r>
    </w:p>
    <w:p>
      <w:r>
        <w:rPr>
          <w:b/>
        </w:rPr>
        <w:t xml:space="preserve">Quelle: </w:t>
      </w:r>
      <w:r>
        <w:t>https://mcp.opencaselaw.ch/entscheid/bvger_C-4652_2013</w:t>
      </w:r>
    </w:p>
    <w:p>
      <w:r>
        <w:t>FR: TAF C-4652/2013 du 4 décembre 2014</w:t>
      </w:r>
    </w:p>
    <w:p>
      <w:r>
        <w:t>IT: TAF C-4652/2013 del 4 dicembre 2014</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déterminants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7.5</w:t>
      </w:r>
    </w:p>
    <w:p>
      <w:r>
        <w:t>Selon les dispositions finales de la révision 6a de la LAI entrée en vigueur le 1er janvier 2012, les rentes octroyées en raison d'un syndrome sans pathogenèse ni étiologies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(al. 1). Cette disposition de s'applique par aux personne qui ont atteint 55 ans au moment de l'entrée en vigueur ou qui touchent une rente de l'assurance-invalidité depuis plus de 15 ans au moment de l'ouverture de la procédure de réexamen (al. 4).</w:t>
      </w:r>
    </w:p>
    <w:p>
      <w:r>
        <w:rPr>
          <w:b/>
        </w:rPr>
        <w:t>E. 8</w:t>
      </w:r>
    </w:p>
    <w:p>
      <w:r>
        <w:t>En l'espèce, la recourante a bénéficié d'une demi-rente d'invalidité à partir du 1er août 1998 selon la décision du 25 avril 2000 de l'OAI-VS. Lors de révisions de rente en 2002, 2005 et 2010, l'OAI-VS et l'OAIE ont confirmé la demi-rente d'invalidité sans examiner le cas de manière approfondie. Par contre, lors d'une révision en 2012, l'OAIE a constaté que l'état de santé de l'assurée s'était nettement amélioré et qu'elle n'avait par conséquent plus droit qu'à une demi-rente d'invalidité. La question de savoir si le degré d'invalidité de la recourante a subi une modification doit par conséquent être jugée en comparant les faits tels qu'ils se présentaient le 25 avril 2000 et ceux qui ont existé à la date de la décision litigieuse du 3 juin 2013.</w:t>
      </w:r>
    </w:p>
    <w:p>
      <w:r>
        <w:rPr>
          <w:b/>
        </w:rPr>
        <w:t>E. 9.1</w:t>
      </w:r>
    </w:p>
    <w:p>
      <w:r>
        <w:t>Alors que l'OAIE base la suppression de la demi-rente à partir du 1er août 2013 sur une amélioration de l'état de santé, la recourante argue que ses douleurs ont augmenté et que son état de santé s'est donc détérioré.</w:t>
      </w:r>
    </w:p>
    <w:p>
      <w:r>
        <w:rPr>
          <w:b/>
        </w:rPr>
        <w:t>E. 9.2</w:t>
      </w:r>
    </w:p>
    <w:p>
      <w:r>
        <w:t>Le Tribunal de céans constate que la demi-rente avait été accordée à partir du 1er août 1998 en raison d'un trouble somatoforme douloureux, donc d'un syndrome sans pathogenèse ni étiologies claires, l'état dépressif majeur étant en rémission à cette époque. Etant donné que l'assurée n'avait pas atteint 55 ans au moment de l'entrée en vigueur de la révision 6a de la LAI au 1er janvier 2012 et ne touchait pas la demi-rente de l'assurance-invalidité depuis plus de 15 ans au moment de l'ouverture de la procédure de réexamen, la rente peut être réduite ou supprimée, même si les conditions de l'art. 17 al. 1 LPGA ne sont pas remplies.</w:t>
      </w:r>
    </w:p>
    <w:p>
      <w:r>
        <w:rPr>
          <w:b/>
        </w:rPr>
        <w:t>E. 9.3</w:t>
      </w:r>
    </w:p>
    <w:p>
      <w:r>
        <w:t>Sur le plan psychique, le Tribunal fait sienne l'évaluation de la capacité de travail des médecins de l'OAIE des 28 septembre 2012 et 10 janvier 2013 (AI pces 54 et 56) et considère, sur la base de toutes les pièces médicales versées au dossier, que l'assurée ne présente aujourd'hui plus aucun diagnostic psychiatrique invalidant et qu'elle jouit, du point de vue psychiatrique, d'une pleine capacité de travail dans toute activité puisqu'il faut faire abstraction du syndrome somatoforme douloureux non invalidant.</w:t>
      </w:r>
    </w:p>
    <w:p>
      <w:r>
        <w:rPr>
          <w:b/>
        </w:rPr>
        <w:t>E. 9.4</w:t>
      </w:r>
    </w:p>
    <w:p>
      <w:r>
        <w:t>Par contre, du point de vue somatique, le Tribunal constate que l'état de santé semble s'être détérioré puisque le Dr F._______ n'avait rien signalé de particulier concernant l'appareil loco-moteur en septembre 2012, en particulier pas de limitations de la colonne vertébrale et un Lasègue négatif (AI pce 47) et que le rapport de la clinique rhumatologique de E._______ du 11 mars 2013 mentionne un Lasègue positif des deux côtés et des troubles de la sensibilité au niveau des vertèbres L5-S1 jusque dans la jambe droite (AI pce 58). Lors de l'expertise pluridisciplinaire de B.______ du 8 octobre 1999, les médecins avaient constaté des protusions discales L4/L5 et L5/S1. Dans le rapport E213 du 29 juin 2012, il est question d'hernies discales L4/L5 et L5/S1. De plus, les médecins portugais attestent une dégradation de la situation du dos due à l'âge de l'assurée.</w:t>
      </w:r>
    </w:p>
    <w:p>
      <w:r>
        <w:rPr>
          <w:b/>
        </w:rPr>
        <w:t>E. 9.5</w:t>
      </w:r>
    </w:p>
    <w:p>
      <w:r>
        <w:t>Le Tribunal constate que les médecins de l'OAIE ne se sont pas exprimés en détail sur une éventuelle dégradation de l'état somatique de l'assurée et ses effets sur la capacité de travail, se bornant à déclarer que les nouvelles pièces médicales n'étaient pas de nature à modifier l'estimation d'une pleine capacité de travail (AI pce 63). Le Tribunal considère que, vu les problèmes de dos, une pleine capacité de travail dans toute activité ne peut pas être considérée comme établie et qu'un complément d'instruction s'impose.</w:t>
      </w:r>
    </w:p>
    <w:p>
      <w:r>
        <w:rPr>
          <w:b/>
        </w:rPr>
        <w:t>E. 10</w:t>
      </w:r>
    </w:p>
    <w:p>
      <w:r>
        <w:t>Il s'ensuit de ce qui précède que le dossier doit être retourné à l'administration en application de l'art. 61 PA (ATF 137 V 210 consid. 4.4.1.4) afin qu'elle requiert une expertise rhumatologique/orthopédique fixant les limitations fonctionnelles de l'assurée, les conditions que devrait remplir une activité adaptée, la capacité de travail résiduelle de l'intéressée dans une telle activité ainsi que l'éventuelle perte de gain et rende une nouvelle décision.</w:t>
      </w:r>
    </w:p>
    <w:p>
      <w:r>
        <w:rPr>
          <w:b/>
        </w:rPr>
        <w:t>E. 11.1</w:t>
      </w:r>
    </w:p>
    <w:p>
      <w:r>
        <w:t>La recourante ayant eu partiellement gain de cause dans le sens d'un renvoi de la cause à l'autorité inférieure (cf. ATF 132 V 215 consid. 6.2), il n'est pas perçu de frais de procédure (art. 63 PA). L'avance de frais de CHF 400.- lui est remboursée.</w:t>
      </w:r>
    </w:p>
    <w:p>
      <w:r>
        <w:rPr>
          <w:b/>
        </w:rPr>
        <w:t>E. 11.2</w:t>
      </w:r>
    </w:p>
    <w:p>
      <w:r>
        <w:t>La recourante ayant agi en étant représentée, elle a droit à une indemnité de dépens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CHF 2'500.- (sans TVA qui n'est pas 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