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C-4646/2014 vom 19. Januar 2015</w:t>
      </w:r>
    </w:p>
    <w:p>
      <w:r>
        <w:t>Bundesverwaltungsgericht, 2015-01-19, DE</w:t>
      </w:r>
    </w:p>
    <w:p>
      <w:r>
        <w:rPr>
          <w:b/>
        </w:rPr>
        <w:t xml:space="preserve">Quelle: </w:t>
      </w:r>
      <w:r>
        <w:t>https://mcp.opencaselaw.ch/entscheid/bvger_C-4646_2014</w:t>
      </w:r>
    </w:p>
    <w:p>
      <w:r>
        <w:t>FR: TAF C-4646/2014 du 19 janvier 2015</w:t>
      </w:r>
    </w:p>
    <w:p>
      <w:r>
        <w:t>IT: TAF C-4646/2014 del 19 gennaio 2015</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werden keine Parteientschädigungen ausgerichtet.</w:t>
      </w:r>
    </w:p>
    <w:p>
      <w:r>
        <w:rPr>
          <w:b/>
        </w:rPr>
        <w:t>E. 4</w:t>
      </w:r>
    </w:p>
    <w:p>
      <w:r>
        <w:t>Dieses Urteil geht an: - die Beschwerdeführerin (Einschreiben mit Rückschein)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