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C-4641/2011 vom 20. Januar 2012</w:t>
      </w:r>
    </w:p>
    <w:p>
      <w:r>
        <w:t>Bundesverwaltungsgericht, 2012-01-20, DE</w:t>
      </w:r>
    </w:p>
    <w:p>
      <w:r>
        <w:rPr>
          <w:b/>
        </w:rPr>
        <w:t xml:space="preserve">Quelle: </w:t>
      </w:r>
      <w:r>
        <w:t>https://mcp.opencaselaw.ch/entscheid/bvger_C-4641_2011</w:t>
      </w:r>
    </w:p>
    <w:p>
      <w:r>
        <w:t>FR: TAF C-4641/2011 du 20 janvier 2012</w:t>
      </w:r>
    </w:p>
    <w:p>
      <w:r>
        <w:t>IT: TAF C-4641/2011 del 20 gennaio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5.4</w:t>
      </w:r>
    </w:p>
    <w:p>
      <w:r>
        <w:t>Gemäss Anhang I zur Verordnung (EG) Nr. 539/2001 des Rates vom 15. März 2001 (ABl. L 81 vom 21.03.2001, S. 1 - 7) unterliegt die Gesuchstellerin als thailändische Staatsangehörige der Visumspflicht.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 Die Gesuchstellerin stammt aus Thailand. Die Wirtschaft dieses Landes hat sich von der internationalen Wirtschaftskrise deutlich erholt. Die Sicherung eines "Wachstums für alle" und die Vollendung der ASEAN Wirtschaftsgemeinschaft 2015 stehen für die seit August 2011 amtierende Regierung unter Premierministerin Yingluck Shinawatra im Vordergrund. 2010 hatte die thailändische Wirtschaft - unbeeindruckt von den innenpolitischen Konflikten - mit einem Wachstum des Bruttoinlandsprodukts von 7,8 Prozent eine bemerkenswerte Erholung erlebt. Hauptgrund dafür war die stark anziehende Exportnachfrage aus den Hauptabnehmerländern (ASEAN, Japan, China, EU, USA). Das Wachstum des BIP stieg 2010 nach dem Einbruch von -2,3 Prozent im Jahr 2009 um 7,8 Prozent. Hauptträger des Wachstums war der Exportsektor (+ 30 Prozent). Für das Jahr 2011 wurde ein pro-Kopf BIP von 5'359 USD prognostiziert. Die offizielle Arbeitslosenquote liegt bei niedrigen 1,1 Prozent (vgl. zu den wirtschaftlichen Indizes die Länder- und Reiseinformationen auf der Website des Deutschen Auswärtigen Amtes: &lt;www.auswaertiges-amt.de&gt;, Reise und Sicherheit &gt; Thailand &gt; Reiseinformationen &gt; Wirtschaft, Stand: September 2011, besucht im Januar 2012). Die grundsätzlich ermutigende wirtschaftliche Entwicklung kann nicht über die Tatsache hinwegtäuschen, dass nach wie vor breite Bevölkerungsschichten von vergleichsweise schwierigen ökonomischen und sozialen Lebensbedingungen betroffen sind. Das Bruttoinlandprodukt (BIP) pro Kopf der Bevölkerung betrug im Jahre 2010 nämlich nur gerade 4'720 USD (Schweiz: 70'000 USD; Quelle: &lt;www.auswaertiges-amt.de&gt;, Reise und Sicherheit &gt; Thailand, Stand: September 2011, besucht im Januar 2012).</w:t>
      </w:r>
    </w:p>
    <w:p>
      <w:r>
        <w:rPr>
          <w:b/>
        </w:rPr>
        <w:t>E. 6.3</w:t>
      </w:r>
    </w:p>
    <w:p>
      <w:r>
        <w:t>Vor dem Hintergrund der fortbestehenden ungünstigen Lebensverhältnisse ist - vor allem in der jüngeren Bevölkerung - ein starker Migrationsdruck festzustellen.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 Im Falle der Schweiz führt dies angesichts der restriktiven Zulassungsregelung oftmals zur Umgehung ausländerrechtlicher Bestimmungen. Dabei wird nicht selten versucht, den Aufenthalt zu verlängern oder - beispielsweise durch Ausbildung oder Heirat - auf eine andere migrationsrechtliche Grundlage zu stellen.</w:t>
      </w:r>
    </w:p>
    <w:p>
      <w:r>
        <w:rPr>
          <w:b/>
        </w:rPr>
        <w:t>E. 7.1</w:t>
      </w:r>
    </w:p>
    <w:p>
      <w:r>
        <w:t>Die Gesuchstellerin ist eine 24-jährige, unverheiratete Frau, welche nach Angaben des Beschwerdeführers alleine in Bang Lamung lebt um dort zu arbeiten, während die siebenjährige Tochter bei ihren Eltern in Saraburi ca. 230 km entfernt lebt. Auf den ersten Blick könnte der Umstand, dass die Eingeladene für die Dauer ihres Besuchsaufenthaltes in der Schweiz ihr minderjähriges Kind in der Heimat zurücklassen würde, durchaus für eine gewisse Verwurzelung sprechen. Andererseits lässt die Tatsache, dass die Tochter bei den Grosseltern lebt, nicht ohne weiteres darauf schliessen, die Anwesenheit der Gesuchstellerin sei für die Belange ihrer Familie unverzichtbar; aufgrund der Aktenlage ist eher davon auszugehen, die Unterstützung der Eltern sowie die Betreuung der Tochter könne durchaus für längere Zeit auch auf andere Weise sichergestellt werden, was denn auch vom Beschwerdeführer nicht in Abrede gestellt wird. Im Übrigen zeigt die Erfahrung, dass gerade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oder gegebenenfalls später nachziehen zu können.</w:t>
      </w:r>
    </w:p>
    <w:p>
      <w:r>
        <w:rPr>
          <w:b/>
        </w:rPr>
        <w:t>E. 7.2</w:t>
      </w:r>
    </w:p>
    <w:p>
      <w:r>
        <w:t>Auch die wirtschaftlichen Verhältnisse der Gesuchstellerin bieten keine besondere Gewähr für eine Wiederausreise. Bei Gesuchseinreichung war die Eingeladene arbeitslos. Während des vorliegenden Beschwerdeverfahrens ging sie indessen wieder einer Erwerbstätigkeit nach. Diesbezüglich wendet der Beschwerdeführer ein, dass er seine Freundin finanziell unterstütze, was er mittels Bankauszügen belegt und sie somit nicht zu arbeiten bräuchte. Die monatlich überwiesenen Beiträge deuten auf eine gewisse finanzielle Abhängigkeit der Gesuchstellerin vom Beschwerdeführer hin. Gerade dies zeigt, dass sie sich offensichtlich nicht in einer derart vorteilhaften stabilen wirtschaftlich Situation befindet, die das Risiko einer nicht fristgerechten Wiederausreise nach einem Besuchsaufenthalt in der Schweiz entscheidend herabsetzen könnte. Daran ändert auch die eingereichte Arbeitsbestätigung nichts. Die Gesuchstellerin ist erst seit kurzem angestellt, dennoch wurde ihr ohne Weiteres eine mehrmonatige Landesabwesenheit gestattet. Vor diesem Hintergrund gilt die Wiederausreise als nicht genügend gesichert, zumal aufgrund der Unterstützung durch den Gastgeber auch keine finanzielle Not besteht, welche eine Wiederaufnahme der Arbeit erforderlich machen würde.</w:t>
      </w:r>
    </w:p>
    <w:p>
      <w:r>
        <w:rPr>
          <w:b/>
        </w:rPr>
        <w:t>E. 7.3</w:t>
      </w:r>
    </w:p>
    <w:p>
      <w:r>
        <w:t>Der Beschwerdeführer und die (wesentlich jüngere) Gesuchstellerin kennen sich gemäss eigenen Angaben seit knapp drei Jahren. Ihr Besuch diene dazu, die Beziehung zu vertiefen und die Familie kennen zu lernen. Von daher bestehen hinsichtlich des Aufenthaltszwecks unbestrittenermassen gewisse Bedenken und Unsicherheiten. Hierbei geht es keineswegs darum, eine mögliche Heirat durch Einreisebestimmungen zu erschweren oder zu verhindern. Wenn aber ein Visum für einen befristeten Besuchsaufenthalt beantragt wird, dessen Erteilung an eine fristgerechte Wiederausreise geknüpft ist, und der Besuch dann je nach Entwicklung der Umstände für Heiratsvorbereitungen benutzt wird, dann liegt es auf der Hand, dass die Beteiligten versucht sein könnten, das Verfahren abzukürzen und sofort zu heiraten, was eben nicht dem Zweck eines befristeten Besuchsaufenthalts entspricht. Einreisegesuche zwecks Eheabschluss richten sich derweil nach eigenen Verfahren mit besonderen Zuständigkeiten (vgl. Art. 10 und 17 AuG bzw. Art. 42 AuG; vgl. auch Urteil des Bundesverwaltungsgerichts C-6726/2010 vom 18. Januar 2011 E. 9.2).</w:t>
      </w:r>
    </w:p>
    <w:p>
      <w:r>
        <w:rPr>
          <w:b/>
        </w:rPr>
        <w:t>E. 8.1</w:t>
      </w:r>
    </w:p>
    <w:p>
      <w:r>
        <w:t>Gestützt auf die vorstehenden Erwägungen durfte die Vorinstanz zu Recht davon ausgehen, die Wiederausreise der Gesuchstellerin sei im Sinne der massgeblichen Bestimmungen nicht gesichert. An der Richtig­keit dieser Einschätzung vermag auch die Tatsache nichts zu ändern, dass der Beschwerdeführer wiederholt die rechtzeitige Rückkehr seiner Freundin zugesichert hat. Die Integrität des Beschwerdeführers wird denn auch in keiner Weise in Zweifel gezogen. Die von ihm eingegangenen Verpflichtungen umfassen jedoch ausschliesslich das Risiko ungedeckter Kosten im Zusammenhang mit dem beabsichtigten Besuchsaufenthalt und sind betragsmässig nach oben beschränkt (Art. 8 Abs. 5 VEV). Demgegenüber kann der Beschwerdeführer in seiner Rolle als Gastgeber für ein bestimmtes Tun oder Unterlassen des Gastes nicht rechtswirksam einstehen (vgl. zum Ganzen BVGE 2009/27 E. 9). In diesem Zusammenhang bleibt festzuhalten, dass er die Gesuchstellerin erst seit knapp drei Jahren - von seinem Ferienaufenthalt in Thailand her - kennt. Bei dieser Sachlage wird selbst der Beschwerdeführer gewisse Vorbehalte anbringen müssen, wenn es darum geht, mögliche Entwicklungen in den Wünschen und Vorstellungen der (deutlich jüngeren) Gesuchstellerin betreffend ihre kurz- und mittelfristige Lebensgestaltung einschätzen zu können.</w:t>
      </w:r>
    </w:p>
    <w:p>
      <w:r>
        <w:rPr>
          <w:b/>
        </w:rPr>
        <w:t>E. 8.2</w:t>
      </w:r>
    </w:p>
    <w:p>
      <w:r>
        <w:t>Gründe für die Ausstellung eines Visums mit räumlich beschränkter Gültigkeit (vgl. E. 5.3.) wurden vom Beschwerdeführer nicht geltend gemacht und sind auch nicht ersichtlich.</w:t>
      </w:r>
    </w:p>
    <w:p>
      <w:r>
        <w:rPr>
          <w:b/>
        </w:rPr>
        <w:t>E. 9</w:t>
      </w:r>
    </w:p>
    <w:p>
      <w:r>
        <w:t>Aus den dargelegten Gründen ist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10</w:t>
      </w:r>
    </w:p>
    <w:p>
      <w:r>
        <w:t>Entsprechend dem Ausgang des Verfahrens wird der unterliegende Be­schwerdeführer kostenpflichtig (Art. 63 Abs. 1 VwVG i.V.m. Art. 1, 2 und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