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C-4640/2007 vom 9. März 2009</w:t>
      </w:r>
    </w:p>
    <w:p>
      <w:r>
        <w:t>Bundesverwaltungsgericht, 2009-03-09, DE</w:t>
      </w:r>
    </w:p>
    <w:p>
      <w:r>
        <w:rPr>
          <w:b/>
        </w:rPr>
        <w:t xml:space="preserve">Quelle: </w:t>
      </w:r>
      <w:r>
        <w:t>https://mcp.opencaselaw.ch/entscheid/bvger_C-4640_2007</w:t>
      </w:r>
    </w:p>
    <w:p>
      <w:r>
        <w:t>FR: TAF C-4640/2007 du 9 mars 2009</w:t>
      </w:r>
    </w:p>
    <w:p>
      <w:r>
        <w:t>IT: TAF C-4640/2007 del 9 marzo 2009</w:t>
      </w:r>
    </w:p>
    <w:p>
      <w:pPr>
        <w:pStyle w:val="Heading2"/>
      </w:pPr>
      <w:r>
        <w:t>Regeste</w:t>
      </w:r>
    </w:p>
    <w:p>
      <w:r>
        <w:t>Zuteilung zu den Prämientarifen","Verhütung Unfälle und Berufskrankheiten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Nach Art. 109 des Bundesgesetzes vom 20. März 1981 über die Unfallversicherung (UVG, SR 832.20) beurteilt das Bundesverwaltungsgericht Beschwerden gegen Einspracheentscheide über die Zuteilung der Betriebe und der Versicherten zu den Klassen und Stufen der Prämientarife (Bst. b) und Anordnungen zur Verhütung von Unfällen und Berufskrankheiten (Bst. c).</w:t>
      </w:r>
    </w:p>
    <w:p>
      <w:r>
        <w:rPr>
          <w:b/>
        </w:rPr>
        <w:t>E. 1.2</w:t>
      </w:r>
    </w:p>
    <w:p>
      <w:r>
        <w:t>Angefochten ist ein Einspracheentscheid der SUVA, mit welchem die Einsprache gegen die in Anwendung von Art. 92 Abs. 3 UVG und Art. 66 der Verordnung vom 19. Dezember 1983 über die Verhütung von Unfällen und Berufskrankheiten (Verordnung über die Unfallverhütung, VUV, SR 832.30) verfügte Höhereinreihung im Prämientarif abgewiesen wurde. Bei einer solchen Höhereinreihung handelt es sich um eine Massnahme der Unfallverhütung (BGE 116 V 255 E. 2), welche gemäss Art. 109 Bst. c UVG im Beschwerdefall vom Bundesverwaltungsgericht zu überprüfen ist (vgl. Urteil der Eidgenössischen Rekurskommission für die Unfallversicherung [im Folgenden: Rekurskommission UV] REKU 556/03 vom 17. Juni 2004, veröffentlicht in Verwaltungspraxis der Bundesbehörden [VPB] 68.170, E. 1a).</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Die Beschwerde wurde frist- und formgerecht eingereicht (vgl. Art. 38 ff. und Art. 60 ATSG, Art. 49 ff. VwVG). Als Adressatin des Einspracheentscheides hat die Beschwerdeführerin ein schützenswertes Interesse an dessen Aufhebung oder Abänderung (Art. 59 ATSG, Art. 48 Abs. 1 VwVG). Nachdem auch der Kostenvorschuss fristgerecht geleistet wurde, ist auf die Beschwerde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Nach Art. 92 Abs. 3 UVG können die Betriebe bei Zuwiderhandlung gegen Vorschriften über die Verhütung von Unfällen und Berufskrankheiten jederzeit und auch rückwirkend in eine höhere Gefahrenstufe versetzt werden. Diese Höhereinreihung richtet sich nach den Bestimmungen der VUV, wobei der betroffene Betrieb in der Regel in eine Stufe mit einem um mindestens 20% höheren Prämiensatz versetzt werden soll (Art. 113 Abs. 2 der Verordnung über die Unfallversicherung vom 20. Dezember 1982 [UVV, SR 832.202]). Gemäss Art. 66 Abs. 1 VUV kann ein Betrieb in eine höhere Stufe des Prämientarifs versetzt werden, sofern der Arbeitgeber einer vollstreckbaren Verfügung keine Folge leistet oder auf andere Weise Vorschriften über die Arbeitssicherheit zuwider handelt. In dringenden Fällen werden die erforderlichen Zwangsmassnahmen (gemäss Art. 67 VUV) getroffen. Die Prämienerhöhung, die nach Art. 113 Abs. 2 UVV festzusetzen ist, wird unter Angabe von Beginn und Dauer, vom zuständigen Durchführungsorgan angeordnet. Sie muss vom Versicherer unverzüglich verfügt werden, wobei das Durchführungsorgan eine Kopie dieser Verfügung erhält (Art. 66 Abs. 2 VUV).</w:t>
      </w:r>
    </w:p>
    <w:p>
      <w:r>
        <w:rPr>
          <w:b/>
        </w:rPr>
        <w:t>E. 4</w:t>
      </w:r>
    </w:p>
    <w:p>
      <w:r>
        <w:t>Bei der Überprüfung einer Verfügung nach Art. 92 Abs. 3 UVG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4.1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Verordnung vom 29. Juni 2005 über die Sicherheit und den Gesundheitsschutz der Arbeitnehmerinnen und Arbeitnehmer bei Bauarbeiten (Bauarbeitenverordnung [BauAV], SR 832.311.141), welche am 1. Januar 2006 die gleichnamige Verordnung vom 29. März 2000 [altBauAV, AS 2000 1403] abgelöst hat, sowie die Verordnung vom 27. September 1999 über die sichere Verwendung von Kranen (Kranverordnung, SR 832.312.15).</w:t>
      </w:r>
    </w:p>
    <w:p>
      <w:r>
        <w:rPr>
          <w:b/>
        </w:rPr>
        <w:t>E. 4.1.1</w:t>
      </w:r>
    </w:p>
    <w:p>
      <w:r>
        <w:t>Gemäss Art. 5 Abs. 1 BauAV müssen die Arbeitnehmerinnen und Arbeitnehmer bei allen Arbeiten, bei denen sie durch herunterfallende Gegenstände oder Materialien gefährdet werden können, einen Schutzhelm tragen. Abs. 2 legt zudem fest, bei welchen Tätigkeiten in jedem Fall ein Schutzhelm getragen werden muss. Dies gilt bspw. bei Hoch- und Brückenbauarbeiten bis zum Abschluss des Rohbaus (Bst. a), bei Arbeiten im Bereich von Kranen, Aushubgeräten und Spezialtiefbaumaschinen (Bst. b), beim Graben- und Schachtbau sowie beim Erstellen von Baugruben (Bst. c) oder bei Holzbau- und Metallbauarbeiten (Bst. h). In weitgehend identischer Weise regelte Art. 5 altBauAV die Schutzhelmtragpflicht.</w:t>
      </w:r>
    </w:p>
    <w:p>
      <w:r>
        <w:rPr>
          <w:b/>
        </w:rPr>
        <w:t>E. 4.1.2</w:t>
      </w:r>
    </w:p>
    <w:p>
      <w:r>
        <w:t>Die SUVA stellte bei mehreren Baustellenkontrollen (am 26. September 2002, 20. Oktober 2003, 14. Februar 2006, 7. September 2006 und 3. April 2007) fest, dass die Arbeiter keine Schutzhelme trugen, obwohl sie Arbeiten ausführten, bei welchen gemäss Art. 5 Abs. 2 Bst. a und/oder Bst. b BauAV (bzw. altBauAV) immer ein Schutzhelm getragen werden muss. Entgegen der Ansicht der Beschwerdeführerin spielt es keine Rolle, ob einer der Arbeiter, der am 20. Oktober 2003 keinen Schutzhelm trug, ein nicht bei ihr angestellter Arbeiter war. Einerseits trug an diesem Datum auch ein zweiter Arbeiter keinen Helm, von dem die Beschwerdeführerin nicht bestreitet, dass er bei ihr angestellt war. Andererseits betrifft dies nur einen von mehreren festgestellten Verstössen gegen die Schutzhelmtragpflicht. Im Übrigen verweist die SUVA zu Recht darauf, dass sich die Pflicht des Arbeitgebers zur Durchsetzung der Arbeitssicherheit auf alle Arbeitnehmenden - einschliesslich der Ausgeliehenen - bezieht (vgl. Art. 6 Abs. 1 VUV, siehe auch Art. 9 Abs. 1 und Art. 10 VUV; unveröffentlichtes Urteil der Rekurskommission UV REKU 585/04 vom 14. November 2005 E. 7). Unbehelflich sind auch die Vorbringen in der Beschwerde, dass den Arbeitern ein Helm zur Verfügung stehe und dass sie diesen anlässlich einer Kontrolle umgehend aufsetzten. Gleiches gilt für den Einwand, der Arbeitgeber könne seine Arbeitnehmer nur zur Einhaltung der Vorschriften ermahnen, diese aber nicht durchsetzen. Gemäss Art. 4 Abs. 1 BauAV (bzw. Art. 4 Abs. 1 altBauAV) muss der Arbeitgebende auf jeder Baustelle eine Person bezeichnen, die für die Arbeitssicherheit und den Gesundheitsschutz zuständig ist; diese Person kann den Arbeitnehmerinnen und Arbeitnehmern diesbezügliche Weisungen erteilen. Die Übertragung von Aufgaben der Arbeitssicherheit entbindet den Arbeitgeber aber nicht von seiner Verantwortung für die Einhaltung der Arbeitssicherheit (vgl. Art. 82 Abs. 1 UVG, Art. 7 Abs. 2 VUV; unveröffentlichtes Urteil der Rekurskommission UV REKU 585/04 vom 14. November 2005 E. 7). Widersetzt sich ein Arbeitnehmender beharrlich, sich dem Helmtragobligatorium zu unterziehen, kann dies als besonders schwere Verfehlung qualifiziert werden, die eine Auflösung des Arbeitsverhältnisses rechtfertigt (Urteil des Bundesgerichts 4C.161/2000 vom 28. Juli 2000 E. 2). Die von der SUVA eingereichten kommentierten Fotos - die jeweils auch der Beschwerdeführerin zugestellt wurden - zeigen überdies, dass auch einer der Betriebsinhaber als Arbeitgeber der Helmtragpflicht nicht nachgekommen ist (Akt. 9/6 und 9/9).</w:t>
      </w:r>
    </w:p>
    <w:p>
      <w:r>
        <w:rPr>
          <w:b/>
        </w:rPr>
        <w:t>E. 4.1.3</w:t>
      </w:r>
    </w:p>
    <w:p>
      <w:r>
        <w:t>Zusätzlich zu der Missachtung der Schutzhelmtragpflicht gemäss Art. 5 BauAV stellte die SUVA bei ihren Kontrollen weitere Verletzungen der Arbeitssicherheitsvorschriften fest. In der dritten Ermahnung wurde beispielsweise gerügt, dass Mitarbeiter im Bereich bei annähernd senkrechten Böschungswänden und ungenügendem Arbeitsraum Schalungsarbeiten ausführten, die Böschungsoberkanten (höher als 2 m) nicht gegen Absturz gesichert waren und als Zugang auf die Decke ein Gerüstbrett verwendet wurde (Akt. 9/9). Bei der Kontrolle vom 14. Februar 2006 entsprach unter anderem auch das Fassadengerüst nicht den Sicherheitsanforderungen (Akt. 9/6).</w:t>
      </w:r>
    </w:p>
    <w:p>
      <w:r>
        <w:rPr>
          <w:b/>
        </w:rPr>
        <w:t>E. 4.1.4</w:t>
      </w:r>
    </w:p>
    <w:p>
      <w:r>
        <w:t>Die Beschwerdeführerin bestreitet nicht, dass sie verschiedene Sicherheitsvorschriften nicht eingehalten hat. Vielmehr macht sie sinngemäss geltend, in der Praxis könnten nicht immer alle Vorschriften eingehalten werden und es sei in erster Linie Sache der Arbeiter, die Gefahrensituationen einzuschätzen und sich entsprechend zu verhalten. Damit verkennt sie in grundlegender Art die zwingende Natur der Unfallschutzbestimmungen und der Verantwortung, welche den Arbeitgebenden bei der Umsetzung zukommt (vgl. auch Art. 6 Abs. 3 und Art. 7 Abs. 2 VUV).</w:t>
      </w:r>
    </w:p>
    <w:p>
      <w:r>
        <w:rPr>
          <w:b/>
        </w:rPr>
        <w:t>E. 4.1.5</w:t>
      </w:r>
    </w:p>
    <w:p>
      <w:r>
        <w:t>Zusammenfassend ist festzustellen, dass die Beschwerdeführerin Vorschriften über die Verhütung von Unfällen - insbesondere die Schutzhelmtragpflicht gemäss Art. 5 BauAV - missachtet hat.</w:t>
      </w:r>
    </w:p>
    <w:p>
      <w:r>
        <w:rPr>
          <w:b/>
        </w:rPr>
        <w:t>E. 4.2</w:t>
      </w:r>
    </w:p>
    <w:p>
      <w:r>
        <w:t>Zu prüfen bleibt, ob die Höhereinreihung im Prämientarif in korrekter Anwendung der gesetzlichen Zuständigkeitsregeln und unter Beachtung der allgemeinen Grundsätze des Verwaltungshandelns verfügt wurde.</w:t>
      </w:r>
    </w:p>
    <w:p>
      <w:r>
        <w:rPr>
          <w:b/>
        </w:rPr>
        <w:t>E. 4.2.1</w:t>
      </w:r>
    </w:p>
    <w:p>
      <w:r>
        <w:t>Nach Art. 66 Abs. 2 VUV ordnet das zuständige Durchführungsorgan die Prämienerhöhung nach Art. 113 Abs. 2 UVV an. Der zuständige Versicherer hat unverzüglich eine Verfügung betreffend Höhereinreihung zu erlassen. Für Betriebe des Baugewerbes ist die SUVA gemäss Art. 49 Ziff. 11 VUV zuständiges Durchführungsorgan für die Aufsicht betreffend Einhaltung der Unfallverhütungsvorschriften und gemäss Art. 66 Abs. 1 Bst. b UVG der zuständige Unfallversicherer. Vorliegend war die SUVA demnach sowohl für die Anordnung der Massnahme als auch für den Erlass der Verfügung zuständig.</w:t>
      </w:r>
    </w:p>
    <w:p>
      <w:r>
        <w:rPr>
          <w:b/>
        </w:rPr>
        <w:t>E. 4.2.2</w:t>
      </w:r>
    </w:p>
    <w:p>
      <w:r>
        <w:t>Gemäss Art. 113 Abs. 2 UVV haben Zuwiderhandlungen gegen Vorschriften zur Verhütung von Unfällen in der Regel eine Höhereinstufung des betreffenden Betriebs in eine Stufe mit einem mindestens 20 % höheren Prämiensatz zur Folge. Die Sanktion greift ungeachtet der Schwere des Verstosses. Das Eidgenössische Versicherungsgericht (EVG) hat diese Ordnung grundsätzlich als mit dem Verhältnismässigkeitsprinzip und dem Willkürverbot vereinbar bezeichnet (Urteil EVG U 240/03 vom 2. Juni 2004, veröffentlicht in Kranken- und Unfallversicherung, Rechtsprechung und Verwaltungspraxis [RKUV] 2004 Nr. U 525 S. 549 E. 6.3 mit Hinweis auf BGE 116 V 255 E. 4b und c). Die verfügte Sanktion muss sich aber auch im Einzelfall als verhältnismässig erweisen (BGE 116 V 255 E. 4b, Urteil REKU 556/03 vom 17. Juni 2004, VPB 68.170, E. 5).</w:t>
      </w:r>
    </w:p>
    <w:p>
      <w:r>
        <w:rPr>
          <w:b/>
        </w:rPr>
        <w:t>E. 4.2.3</w:t>
      </w:r>
    </w:p>
    <w:p>
      <w:r>
        <w:t>Die SUVA hat den Betrieb der Beschwerdeführerin für die Dauer von einem Jahr um vier Stufen höher im Prämientarif eingereiht. Der Prämiensatz von 4.96 % (Stufe 114) wurde auf 6.03 % (Stufe 118), das heisst um 21.57 % erhöht. Damit hat die Vorinstanz die Höhereinreihung gemäss der in Art. 113 Abs. 2 UVV vorgegebenen Regel vorgenommen, denn die Anwendung des nächst tieferen Satzes (Stufe 117 mit einem Prämiensatz von 5.74) hätte nur eine Erhöhung um 15.76 % zur Folge. Die Beschwerdeführerin wurde seit dem Jahr 2002 insgesamt vier Mal ermahnt, weil auf ihren Baustellen verschiedene Vorschriften zur Unfallverhütung nicht eingehalten wurden und insbesondere die Schutzhelmtragpflicht missachtet wurde. In den drei Ermahnungen vom 21. Oktober 2003, vom 20. Februar 2006 und vom 13. September 2006 wies die SUVA den Betrieb auf die mögliche Sanktion gemäss Art. 92 Abs. 3 UVG hin. Erst nachdem eine weitere Baustellenkontrolle gezeigt hatte, dass die massgebenden Schutzvorschriften immer noch nicht eingehalten wurden, hat die SUVA die Sanktion ausgesprochen und die Höhereinreihung gemäss Art. 92 Abs. 3 UVG und Art. 113 Abs. 2 UVV verfügt. Vor diesem Hintergrund kann eine Erhöhung des Prämiensatzes von 4.96 % auf 6.03 % für die Dauer eines Jahres nicht als unverhältnismässig bezeichnet werden.</w:t>
      </w:r>
    </w:p>
    <w:p>
      <w:r>
        <w:rPr>
          <w:b/>
        </w:rPr>
        <w:t>E. 4.3</w:t>
      </w:r>
    </w:p>
    <w:p>
      <w:r>
        <w:t>An diesem Ergebnis ändern auch die Hinweise der Beschwerdeführerin nichts, dass sich ihr Engagement für die Arbeitssicherheit in den Unfallzahlen zeige. Die Einreihung in eine höhere Stufe im Prämientarif gemäss Art. 92 Abs. 3 UVG und Art. 113 Abs. 2 UVV ist eine Sanktion für Zuwiderhandlungen gegen Arbeitssicherheitsvorschriften. Eine solche Höhereinreihung erfolgt unabhängig davon, ob sich aufgrund der nicht eingehaltenen Sicherheitsvorschriften ein Unfall ereignet hat (vgl. BGE 116 V 255 E. 4c; Urteil REKU 556/03 vom 17. Juni 2004, VPB 68.170, E. 6a).</w:t>
      </w:r>
    </w:p>
    <w:p>
      <w:r>
        <w:rPr>
          <w:b/>
        </w:rPr>
        <w:t>E. 4.4</w:t>
      </w:r>
    </w:p>
    <w:p>
      <w:r>
        <w:t>Nicht weiter einzugehen ist auf die Rüge der Beschwerdeführerin, die SUVA habe ihren eigenen Entscheid beurteilt, weshalb das Ergebnis bereits zum vornherein festgestanden habe. Es ist das Wesen der Einsprache, dass diese von der verfügenden Instanz beurteilt werden. Im Bereich der obligatorischen Unfallversicherung ist - abgesehen von hier nicht massgebenden Ausnahmen - ein Einspracheverfahren durchzuführen (Art. 1 UVG in Verbindung mit Art. 52 Abs. 1 ATSG). Im Übrigen kann auch keine Verletzung des rechtlichen Gehörs (vgl. Art. 42 ATSG; BGE 132 V 368 E. 3.1) darin erblickt werden, dass die Vorinstanz im Einspracheentscheid nicht auf das Vorbringen eingegangen ist, einer der Arbeiter, der keinen Helm getragen hat, sei keiner ihrer Mitarbeiter gewesen. Die aus dem rechtlichen Gehör fliessende Pflicht einer Behörde, ihren Entscheid zu begründen, geht nicht soweit, dass sie sich mit jeder tatbeständlichen Behauptung und jedem rechtlichen Einwand auseinandersetzen muss. Vielmehr kann sie sich auf die für den Entscheid wesentlichen Gesichtspunkte beschränken (BGE 124 V 180 E. 1a; BVGE 2007/27 E. 5.5.2 mit Hinweisen).</w:t>
      </w:r>
    </w:p>
    <w:p>
      <w:r>
        <w:rPr>
          <w:b/>
        </w:rPr>
        <w:t>E. 4.5</w:t>
      </w:r>
    </w:p>
    <w:p>
      <w:r>
        <w:t>Zusammenfassend erweist sich die Verfügung vom 16. April 2007 betreffend Prämienerhöhung als korrekt. Die Vorinstanz hat die dagegen erhobene Einsprache zu Recht abgewiesen. Der angefochtene Einspracheentscheid vom 5. Juni 2007 ist deshalb zu bestätigen und die Beschwerde abzuweisen.</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Bei Streitigkeiten mit Vermögensinteresse beträgt die Gerichtsgebühr bei einem Streitwert bis Fr. 10'000.- zwischen Fr. 200.- und 5'000.- (Art. 4 VGKE). Die Verfahrenskosten sind vorliegend auf Fr. 800.- festzulegen.</w:t>
      </w:r>
    </w:p>
    <w:p>
      <w:r>
        <w:rPr>
          <w:b/>
        </w:rPr>
        <w:t>E. 5.2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