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C-4639/2010 vom 15. Februar 2011</w:t>
      </w:r>
    </w:p>
    <w:p>
      <w:r>
        <w:t>Bundesverwaltungsgericht, 2011-02-15, DE</w:t>
      </w:r>
    </w:p>
    <w:p>
      <w:r>
        <w:rPr>
          <w:b/>
        </w:rPr>
        <w:t xml:space="preserve">Quelle: </w:t>
      </w:r>
      <w:r>
        <w:t>https://mcp.opencaselaw.ch/entscheid/bvger_C-4639_2010</w:t>
      </w:r>
    </w:p>
    <w:p>
      <w:r>
        <w:t>FR: TAF C-4639/2010 du 15 février 2011</w:t>
      </w:r>
    </w:p>
    <w:p>
      <w:r>
        <w:t>IT: TAF C-4639/2010 del 15 febbraio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Ob dem Beschwerdeführer anlässlich der Anhaltung am 5. März 2009 mitgeteilt wurde, er habe wegen der ihm zur Last gelegten Widerhandlungen mit einer Fernhaltemassnahme zu rechnen, ist umstritten und nicht aktenkundig. Weil er den Grenzkontrollorganen damals eine falsche bzw. unvollständige Adresse angab (siehe Grenzkontrollrapport vom 5. März 2009 sowie Informationsschreiben der Schweizerischen Botschaft vom 9. Juni 2010 zu den Gründen, warum dem Betroffenen das Einreiseverbot nicht zugestellt werden konnte) kann die Frage einer allfälligen Verletzung des rechtlichen Gehörs - so wie sie der Beschwerdeführer rügt - aber offen gelassen werden. Im Übrigen wären auch die Voraussetzungen einer nachträglichen Heilung erfüllt.</w:t>
      </w:r>
    </w:p>
    <w:p>
      <w:r>
        <w:rPr>
          <w:b/>
        </w:rPr>
        <w:t>E. 4.1</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4.2</w:t>
      </w:r>
    </w:p>
    <w:p>
      <w:r>
        <w:t>Soweit der Rechtsvertreter argumentiert, die verhängte Fernhaltemassnahme erweise sich wegen ihrer Wirksamkeit auf den ganzen Schengenraum in räumlicher Hinsicht als unverhältnismässig, gilt es festzuhalten, dass der Beschwerdeführer nicht Bürger eines Schengenstaates ist,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C-20/2010 vom 12. Oktober 2010 E. 6.2.1).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5.1</w:t>
      </w:r>
    </w:p>
    <w:p>
      <w:r>
        <w:t>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worden sind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Für den Beschwerdeführer ändert sich dadurch im Ergebnis nichts.</w:t>
      </w:r>
    </w:p>
    <w:p>
      <w:r>
        <w:rPr>
          <w:b/>
        </w:rPr>
        <w:t>E. 5.2</w:t>
      </w:r>
    </w:p>
    <w:p>
      <w:r>
        <w:t>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w:t>
      </w:r>
    </w:p>
    <w:p>
      <w:r>
        <w:rPr>
          <w:b/>
        </w:rPr>
        <w:t>E. 5.3</w:t>
      </w:r>
    </w:p>
    <w:p>
      <w:r>
        <w:t>In Bezug auf die Verfehlungen, derentwegen der Beschwerdeführer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C-7263/2008 vom 31. August 2010 E. 4.1 mit Hinweis).</w:t>
      </w:r>
    </w:p>
    <w:p>
      <w:r>
        <w:rPr>
          <w:b/>
        </w:rPr>
        <w:t>E. 6.1</w:t>
      </w:r>
    </w:p>
    <w:p>
      <w:r>
        <w:t>Dem Beschwerdeführer wird in der angefochtenen Verfügung illegale Einreise und Gebrauch von gefälschten Ausweisen vorgeworfen. Gemäss Art. 5 AuG benötigt eine ausländische Person für die Einreise in die Schweiz ein anerkanntes Ausweispapier und ein Visum, es sei denn, sie gehöre einer von diesen Verpflichtungen befreiten Personengruppe an. Als montenegrinischer Staatsangehöriger mit Wohnsitz in Montenegro konnte sich der Beschwerdeführer im fraglichen Zeitraum - entgegen der nachträglichen Behauptung in der Replik - auf keine derartige Befreiung berufen (vgl. Art. 4, 5 und 6 der Verordnung vom 22. Oktober 2008 über die Einreise und die Visumerteilung [VEV, SR 142.204]). Dennoch war er bei der am 5. März 2009 erfolgten Einreise nicht im Besitz eines gültigen schweizerischen Visums. Dass er für Einreisen nach Deutschland keines Visums bedurfte, tut hierbei nichts zur Sache. Massgeblich sind allein die hierzulande geltenden Visumsvorschriften. Mit der illegalen Einreise erweist sich auch der anschliessende kurze Aufenthalt als Transitreisender als rechtswidrig (zur Sonderregelung für Flugpassagiere im Transit vgl. Art. 6 VEV).</w:t>
      </w:r>
    </w:p>
    <w:p>
      <w:r>
        <w:rPr>
          <w:b/>
        </w:rPr>
        <w:t>E. 6.2</w:t>
      </w:r>
    </w:p>
    <w:p>
      <w:r>
        <w:t>Der weitere Vorwurf der Benutzung eines gefälschten, auf einen anderen Namen lautenden slowenischen Passes ist unbestritten. Strafrechtlich wurde der Beschwerdeführer wegen illegaler Einreise und Fälschung von Ausweisen zur Rechenschaft gezogen. Der diesbezügliche Strafbefehl vom 6. März 2009 blieb - wie im Sachverhalt erwähnt - unangefochten und erwuchs in Rechtskraft. Das damit abgeurteilte Fehlverhalten rechtfertigt grundsätzlich die Verhängung einer Fernhaltemassnahme gestützt auf Art. 67 Abs. 1 Bst. a AuG bzw. nunmehr Art. 67 Abs. 2 Bst. a AuG.</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Zürich/Basel/Genf/St. Gallen 2006, Rz. 613 ff.).</w:t>
      </w:r>
    </w:p>
    <w:p>
      <w:r>
        <w:rPr>
          <w:b/>
        </w:rPr>
        <w:t>E. 7.2</w:t>
      </w:r>
    </w:p>
    <w:p>
      <w:r>
        <w:t>Das Fehlverhalten des Beschwerdeführers wiegt objektiv nicht leicht. Es beinhaltet nebst einem Vergehen im Sinne der Strafgesetzgebung die Missachtung ausländerrechtlicher Normen, denen im Interesse einer funktionierenden Rechtsordnung eine zentrale Bedeutung zukommt. Aber auch was die subjektive Seite anbelangt, ist sein Verhalten nicht zu bagatellisieren. Insbesondere mit dem Verwenden eines gefälschten Passes hat er sich jedenfalls bewusst über die einschlägigen ausländerrechtlichen Normen hinweggesetzt.</w:t>
      </w:r>
    </w:p>
    <w:p>
      <w:r>
        <w:rPr>
          <w:b/>
        </w:rPr>
        <w:t>E. 7.3</w:t>
      </w:r>
    </w:p>
    <w:p>
      <w:r>
        <w:t>Auf der anderen Seite ist die Gefahr weiterer gleichgelagerter Zuwiderhandlungen nicht in dem Masse anzunehmen, wie sie zum Zeitpunkt des Erlasses der angefochtenen Verfügung gegeben war. Der Beschwerdeführer war wie erwähnt im Besitze eines gültigen nationalen Reisepasses, aber ohne das dazu notwendige schweizerische Visum. Inzwischen sind montenegrinische Staatsangehörige mit Wirkung ab 19. Dezember 2009 für einen maximal dreimonatigen Aufenthalt ohne Erwerbstätigkeit von der Visumspflicht befreit, wenn sie im Besitz eines biometrischen Reisepasses sind (vgl. Art. 4 Abs. 2 VEV und Anhang II der Verordnung [EG] Nr. 539/2001 des Rates vom 15. März 2001 in der Fassung vom 19. Dezember 2009). Zugute gehalten werden kann dem Beschwerdeführer zudem, dass er nicht aus privaten oder geschäftlichen Gründen in die Schweiz einreiste, sondern es sich nachweislich um einen blossen Transit durch schweizerisches Gebiet innerhalb eines Tages gehandelt hat. Spezifische persönliche Interessen bestehen schliesslich insofern, als der Betroffene kürzere Reisewege geltend macht, um in Deutschland ansässige Angehörige besuchen zu können.</w:t>
      </w:r>
    </w:p>
    <w:p>
      <w:r>
        <w:rPr>
          <w:b/>
        </w:rPr>
        <w:t>E. 7.4</w:t>
      </w:r>
    </w:p>
    <w:p>
      <w:r>
        <w:t>Eine Abwägung der gegenläufigen öffentlichen und privaten Interessen führt zum Ergebnis, dass das Einreiseverbot dem Grundsatze nach zu bestätigen ist, in der ausgesprochenen Dauer von drei Jahren jedoch als unangemessen lang erscheint. Angesichts der konkreten Umstände und unter Berücksichtigung der in der Zwischenzeit eingetretenen Rechtsänderung ist davon auszugehen, dass dem öffentlichen Interesse an der Fernhaltung des Beschwerdeführers mit einem Einreiseverbot von zwei Jahren hinreichend Rechnung getragen wird.</w:t>
      </w:r>
    </w:p>
    <w:p>
      <w:r>
        <w:rPr>
          <w:b/>
        </w:rPr>
        <w:t>E. 8</w:t>
      </w:r>
    </w:p>
    <w:p>
      <w:r>
        <w:t>Aus diesen Erwägungen folgt, dass das auf drei Jahre bemessene Einreiseverbot Bundesrecht verletzt (vgl. Art. 49 VwVG). Die Beschwerde ist daher teilweise gutzuheissen und das gegen den Beschwerdeführer verhängte Einreiseverbot auf zwei Jahre, bis zum 25. Juni 2011, zu befristen.</w:t>
      </w:r>
    </w:p>
    <w:p>
      <w:r>
        <w:rPr>
          <w:b/>
        </w:rPr>
        <w:t>E. 9</w:t>
      </w:r>
    </w:p>
    <w:p>
      <w:r>
        <w:t>Bei diesem Ausgang des Verfahrens sind die ermässigten Verfahrenskosten dem Beschwerdeführer aufzuerlegen und mit dem geleisteten Kostenvorschuss zu verrechnen (vgl.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