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C-4637/2010 vom 5. April 2012</w:t>
      </w:r>
    </w:p>
    <w:p>
      <w:r>
        <w:t>Bundesverwaltungsgericht, 2012-04-05, DE</w:t>
      </w:r>
    </w:p>
    <w:p>
      <w:r>
        <w:rPr>
          <w:b/>
        </w:rPr>
        <w:t xml:space="preserve">Quelle: </w:t>
      </w:r>
      <w:r>
        <w:t>https://mcp.opencaselaw.ch/entscheid/bvger_C-4637_2010</w:t>
      </w:r>
    </w:p>
    <w:p>
      <w:r>
        <w:t>FR: TAF C-4637/2010 du 5 avril 2012</w:t>
      </w:r>
    </w:p>
    <w:p>
      <w:r>
        <w:t>IT: TAF C-4637/2010 del 5 aprile 2012</w:t>
      </w:r>
    </w:p>
    <w:p>
      <w:pPr>
        <w:pStyle w:val="Heading2"/>
      </w:pPr>
      <w:r>
        <w:t>Regeste</w:t>
      </w:r>
    </w:p>
    <w:p>
      <w:r>
        <w:t>Rente</w:t>
      </w:r>
    </w:p>
    <w:p>
      <w:pPr>
        <w:pStyle w:val="Heading2"/>
      </w:pPr>
      <w:r>
        <w:t>Erwägungen</w:t>
      </w:r>
    </w:p>
    <w:p>
      <w:r>
        <w:rPr>
          <w:b/>
        </w:rPr>
        <w:t>E. 1</w:t>
      </w:r>
    </w:p>
    <w:p>
      <w:r>
        <w:t>Anfechtungsobjekt ist vorliegend der Einspracheentscheid vom 4. Juni 2010, mit welcher die Vorinstanz das Gesuch um Ausrichtung einer Altersrente abgewiesen hat.</w:t>
      </w:r>
    </w:p>
    <w:p>
      <w:r>
        <w:rPr>
          <w:b/>
        </w:rPr>
        <w:t>E. 1.1</w:t>
      </w:r>
    </w:p>
    <w:p>
      <w:r>
        <w:t>Gemäss Art. 31 des Verwaltungsgerichtsgesetzes vom 17. Juni 2005 (VGG, SR 173.32) i.V.m. Art. 33 Bst. d VGG und Art. 85bis Abs. 1 AHVG beurteilt das Bundesverwaltungsgericht Beschwerden von Personen im Ausland gegen Verfügungen der Schweizerischen Ausgleichskasse. Es liegt keine Ausnahme im Sinn von Art. 32 VGG vor. Das Bundesverwaltungsgericht ist somit zur Beurteilung der vorliegenden Beschwerde zuständig.</w:t>
      </w:r>
    </w:p>
    <w:p>
      <w:r>
        <w:rPr>
          <w:b/>
        </w:rPr>
        <w:t>E. 1.2</w:t>
      </w:r>
    </w:p>
    <w:p>
      <w:r>
        <w:t>Aufgrund von Art. 3 Bst. dbis des Verwaltungsverfahrensgesetzes vom 20. Dezember 1968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 von Art. 59 ATSG beschwerdelegitimiert ist.</w:t>
      </w:r>
    </w:p>
    <w:p>
      <w:r>
        <w:rPr>
          <w:b/>
        </w:rPr>
        <w:t>E. 1.4</w:t>
      </w:r>
    </w:p>
    <w:p>
      <w:r>
        <w:t>Die Beschwerde wurde frist- und formgerecht eingereicht, weshalb auf die Beschwerde einzutreten ist (Art. 50 Abs. 1, Art. 52 Abs. 1 VwVG; vgl. auch Art. 60 Abs. 1 ATSG).</w:t>
      </w:r>
    </w:p>
    <w:p>
      <w:r>
        <w:rPr>
          <w:b/>
        </w:rPr>
        <w:t>E. 1.5</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2</w:t>
      </w:r>
    </w:p>
    <w:p>
      <w:r>
        <w:t>Die Beschwerdeführerin ist Staatsangehörige eines Mitgliedstaates der Europäischen Gemeinschaft,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Nr. 574/72; SR 0.831.109.268.11).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Altersrente grundsätzlich Sache der innerstaatlichen Rechtsordnung (BGE 130 V 253 E. 2.4). Daraus folgt, dass die Verwaltung und im Beschwerdefall das Gericht den Leistungsanspruch der Beschwerdeführerin gemäss Art. 3 Abs. 1 der Verordnung Nr. 1408/71 grundsätzlich nach den für schweizerische Staatsangehörige geltenden Regeln zu beurteilen haben.</w:t>
      </w:r>
    </w:p>
    <w:p>
      <w:r>
        <w:rPr>
          <w:b/>
        </w:rPr>
        <w:t>E. 3.1</w:t>
      </w:r>
    </w:p>
    <w:p>
      <w:r>
        <w:t>Vorliegend streitig und daher zu prüfen ist, ob die Vorinstanz das Leistungsbegehren zu Recht abgewiesen hat.</w:t>
      </w:r>
    </w:p>
    <w:p>
      <w:r>
        <w:rPr>
          <w:b/>
        </w:rPr>
        <w:t>E. 3.2</w:t>
      </w:r>
    </w:p>
    <w:p>
      <w:r>
        <w:t>Vorab ist zu prüfen, welche materiellen Rechtsnormen im vorliegenden Verfahren zur Anwendung kommen.</w:t>
      </w:r>
    </w:p>
    <w:p>
      <w:r>
        <w:rPr>
          <w:b/>
        </w:rPr>
        <w:t>E. 3.3</w:t>
      </w:r>
    </w:p>
    <w:p>
      <w:r>
        <w:t>Die Beschwerdeführerin ist am _______ 1945 geboren. Mit Erreichen des ordentlichen Rentenalters im _______ 2009 ist der Versicherungsfall eingetreten. Deshalb sind vorliegend das AHVG vom 20. Dezember 1946 sowie die dazugehörende Verordnung vom 31. Oktober 1947 mit den zu diesem Zeitpunkt in Kraft stehenden Änderungen zwingend anwendbar.</w:t>
      </w:r>
    </w:p>
    <w:p>
      <w:r>
        <w:rPr>
          <w:b/>
        </w:rPr>
        <w:t>E. 3.4</w:t>
      </w:r>
    </w:p>
    <w:p>
      <w:r>
        <w:t>Anspruch auf eine ordentliche Alters- und Hinterlassenenrente haben die rentenberechtigten Personen, denen für mindestens ein volles Jahr Einkommen, Erziehungs- oder Betreuungsgutschriften angerechnet werden können, oder ihre Hinterlassenen (Art. 29 Abs. 1 AHVG).</w:t>
      </w:r>
    </w:p>
    <w:p>
      <w:r>
        <w:rPr>
          <w:b/>
        </w:rPr>
        <w:t>E. 3.5</w:t>
      </w:r>
    </w:p>
    <w:p>
      <w:r>
        <w:t>Ein volles Beitragsjahr liegt gemäss Art. 50 Abs. 1 AHVV vor, wenn eine Person insgesamt länger als elf Monate im Sinn von Art. 1a oder 2 AHVG versichert war und während dieser Zeit den Mindestbeitrag bezahlt hat oder Beitragszeiten im Sinn von Art. 29ter Abs. 2 Bst. b und c AHVG aufweist. Dabei bestimmt sich die Beitragsdauer einer versicherten Person in der Regel nach den Einträgen in ihren individuellen Konten (Art. 30ter AHVG).</w:t>
      </w:r>
    </w:p>
    <w:p>
      <w:r>
        <w:rPr>
          <w:b/>
        </w:rPr>
        <w:t>E. 4.1</w:t>
      </w:r>
    </w:p>
    <w:p>
      <w:r>
        <w:t>Gemäss individuellem Kontoauszug hat die Beschwerdeführerin in der Schweiz im Jahr 1969 von September bis Ende Dezember und im Jahr 1970 von Januar bis Ende Mai gearbeitet und Beiträge an die Alters- und Hinterlassenenversicherung entrichtet (act. 32). Dies entspricht lediglich einer Beitragszeit von neun Monaten und berechtigt die Beschwerdeführerin nicht zum Bezug einer Rente. Belege, die den Nachweis für eine längere Beitragszeit erbringen, legt die Beschwerdeführerin nicht ins Recht. Sie macht auch nicht geltend, es gäbe solche oder die Berechnung der Beitragszeit sei falsch.</w:t>
      </w:r>
    </w:p>
    <w:p>
      <w:r>
        <w:rPr>
          <w:b/>
        </w:rPr>
        <w:t>E. 4.2</w:t>
      </w:r>
    </w:p>
    <w:p>
      <w:r>
        <w:t>Soweit die Beschwerdeführerin geltend macht, die SAK hätte sie über die Anspruchsvoraussetzungen informieren müssen, ist sie darauf hinzuweisen, dass sich von Gesetzes wegen keine solchen Pflichten ergeben.</w:t>
      </w:r>
    </w:p>
    <w:p>
      <w:r>
        <w:rPr>
          <w:b/>
        </w:rPr>
        <w:t>E. 4.3</w:t>
      </w:r>
    </w:p>
    <w:p>
      <w:r>
        <w:t>Ausserdem ist die Beschwerdeführerin bezüglich einer allfälligen Rückvergütung der von ihr bezahlten Beiträge auf Art. 1 Abs. 1 RV-AHV hinzuweisen, wonach eine Rückvergütung der entrichteten Beiträge unter anderem nur dann möglich ist, sofern diese während mindestens eines vollen Jahres geleistet worden sind. Wie unter E. 4.1 erwähnt, erfüllt die Beschwerdeführerin diese Voraussetzung nicht.</w:t>
      </w:r>
    </w:p>
    <w:p>
      <w:r>
        <w:rPr>
          <w:b/>
        </w:rPr>
        <w:t>E. 4.4</w:t>
      </w:r>
    </w:p>
    <w:p>
      <w:r>
        <w:t>Die Vorinstanz hat somit den Antrag der Beschwerdeführerin auf Gewährung einer Altersrente mangels Nichterfüllung der Mindestbeitragszeit zu Recht abgewiesen. Die vorliegende Beschwerde ist somit im einzelrichterlichen Verfahren gemäss Art. 23 Abs. 2 VGG i.V.m. Art. 85bis Abs. 3 AHVG wegen offensichtlicher Unbegründetheit abzuweisen, und die Einspracheverfügung vom 4. Juni 2010 ist zu bestätigen.</w:t>
      </w:r>
    </w:p>
    <w:p>
      <w:r>
        <w:rPr>
          <w:b/>
        </w:rPr>
        <w:t>E. 5</w:t>
      </w:r>
    </w:p>
    <w:p>
      <w:r>
        <w:t>Das Verfahren ist für die Parteien kostenlos (Art. 85bis Abs. 2 AHVG). Die Beschwerdeführerin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