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C-4636/2015 vom 18. April 2016</w:t>
      </w:r>
    </w:p>
    <w:p>
      <w:r>
        <w:t>Bundesverwaltungsgericht, 2016-04-18, DE</w:t>
      </w:r>
    </w:p>
    <w:p>
      <w:r>
        <w:rPr>
          <w:b/>
        </w:rPr>
        <w:t xml:space="preserve">Quelle: </w:t>
      </w:r>
      <w:r>
        <w:t>https://mcp.opencaselaw.ch/entscheid/bvger_C-4636_2015</w:t>
      </w:r>
    </w:p>
    <w:p>
      <w:r>
        <w:t>FR: TAF C-4636/2015 du 18 avril 2016</w:t>
      </w:r>
    </w:p>
    <w:p>
      <w:r>
        <w:t>IT: TAF C-4636/2015 del 18 aprile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Die Beschwerdeführerin ist als Gastgeberin und vom Einsprecher bevollmächtigt zur Be­schwerde berechtigt (Art. 48 Abs. 1 VwVG). Auf die im Übrigen frist- und formgerecht eingereichte Beschwerde ist einzutreten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liegen die Gesuche von zwei sri-lankischen Staatsangehörigen um Erteilung je eines Visums für einen dreimonatigen 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Staatszugehörigkeit unterliegen die Gesuchsteller der Visumspflicht (vgl. Anhang I zur Verordnung [EG] Nr. 539/2001 [ABl. L 81 vom 21.03.2001;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5.3.1</w:t>
      </w:r>
    </w:p>
    <w:p>
      <w:r>
        <w:t>Seit Ende des langjährigen Bürgerkriegs im Jahr 2009 hat sich die Sicherheitslage in Sri Lanka zwar stabilisiert. Die Menschenrechtslage aber ist nach wie vor prekär und die politische Situation kann noch nicht als stabil eingestuft werden. In wirtschaftlicher Hinsicht gilt Sri Lanka gemäss Weltbank-Klassifikation als «Lower Middle Income Country»; im als Wohlstandsindikator zu berücksichtigenden UN-Index der menschlichen Entwicklung (HDI) 2015 belegt Sri Lanka die Position 73 von 187 Ländern. Das Bruttoinlandsprodukt (BIP) betrug 2015 81,1 Mrd. USD (3.92 USD/Kopf). Dies stellt gegenüber dem Vorjahr ein reales Wachstum von 2,9% dar. Die Arbeitslosigkeit liegt bei ca. 4,2%, ist also relativ tief, wobei freilich - wie bei den Einkommen - ein erhebliches Stadt/Land-Gefälle existiert. Etwa die Hälfte der Wirtschaftsleistung des Landes ist auf die Region um Colombo konzentriert. Namentlich bei der Landbevölkerung ist dagegen Armut weiterhin verbreitet. Für die vorwiegend tamilische Bevölkerung im Norden des Landes (inkl. Halbinsel Jaffna, wo die Gesuchsteller leben) kommt hinzu, dass die öffentliche Gesundheitsversorgung dürftig ist und viele Kliniken nur über rudimentäre Behandlungsmöglichkeiten verfügen. All diese Umstände führen zu einer anhaltend hohen Emigration (Quellen: Webseite des deutschen Auswärtigen Amtes: www.auswaertiges-amt.de, Aussen- und Europapolitik Länderinformationen &gt; Sri Lanka &gt; Wirtschaft, Stand: Februar 2016, besucht im März 2016 sowie Urteil des BVGer C-6274/2014 vom 11. Februar 2016 E. 5.3.1 m.H.).</w:t>
      </w:r>
    </w:p>
    <w:p>
      <w:r>
        <w:rPr>
          <w:b/>
        </w:rPr>
        <w:t>E. 5.3.2</w:t>
      </w:r>
    </w:p>
    <w:p>
      <w:r>
        <w:t>In Anbetracht dieser Umstände ist grundsätzlich nicht zu beanstanden, dass die Vorinstanz das Risiko einer nicht fristgerechten Wiederausreise allgemein als hoch einschätzt. Das Risiko ist insofern zu bekräftigen, als die Bereitschaft, das Land auf Dauer zu verlassen, durch bereits im Ausland lebende nahe Verwandte erfahrungsgemäss begünstigt werden kann.</w:t>
      </w:r>
    </w:p>
    <w:p>
      <w:r>
        <w:rPr>
          <w:b/>
        </w:rPr>
        <w:t>E. 5.3.3</w:t>
      </w:r>
    </w:p>
    <w:p>
      <w:r>
        <w:t>Bei der Risikoanalyse sind neben allgemeinen Umständen und Erfahrungen sämtliche Gesichtspunkte des konkreten Einzelfalls zu berücksichtigen. In beweisrechtlicher Hinsicht ist festzuhalten, dass ein Visum nur erteilt werden darf, wenn keine begründeten Zweifel an der Absicht der Gesuchstel­ler bestehen, den Schengen-Raum vor Ablauf des Visums zu verlassen (vgl. BVGE 2014/1 E. 4.4 und E. 6.3.1 je m.H).</w:t>
      </w:r>
    </w:p>
    <w:p>
      <w:r>
        <w:rPr>
          <w:b/>
        </w:rPr>
        <w:t>E. 6.1</w:t>
      </w:r>
    </w:p>
    <w:p>
      <w:r>
        <w:t>Bei den Gesuchstellern handelt es sich um eine 62-jährige Frau und deren 63-jährigen Ehemann. Ihre drei Kinder (zwei Töchter und ein Sohn) halten sich alle in der Schweiz auf (SEM act. 5/93). Gemäss den Auskünften der Beschwerdeführerin leben die Gesuchsteller im eigenen Haus. Es kann demnach nicht davon ausgegangen werden, im persönlichen oder familiären Umfeld der Gäste seien Verpflichtungen oder gar Abhängigkeiten vorhanden, die besondere Gewähr für eine Rückkehr ins Heimatland bieten könnten. Dass gemäss der Beschwerdeführerin alle Geschwister der Gesuchsteller und mehrere Verwandte sowie Bekannte in deren Nähe leben würden, ändert nichts an dieser Annahme. So ist weder aus den Akten ersichtlich noch wurde dargetan, dass aufgrund ihrer familiären oder freundschaftlichen Beziehungen irgendwelche Verpflichtungen bestünden.</w:t>
      </w:r>
    </w:p>
    <w:p>
      <w:r>
        <w:rPr>
          <w:b/>
        </w:rPr>
        <w:t>E. 6.2</w:t>
      </w:r>
    </w:p>
    <w:p>
      <w:r>
        <w:t>Den Akten kann entnommen werden, dass die Gesuchsteller selbständige Reisbauern sind. Gemäss zwei Auszügen der Bank of Ceylon in Chavakachcheri für die Periode 16. Juli 2014 bis 16. Juli 2015, welche auf den Namen des Gesuchstellers lauten, betrugen die Depositen zusammen Rs (= Währungssymbol = LRK) 1,5 Mio. (entspricht rund USD 10'370.-; vgl. BVGer-act. 1 Beilage A3). Bei derselben Bank besass der Gesuchsteller am 14. September 2015 ein Guthaben von Rs 1'676'375.20 (entspricht rund USD 11'600.-; BVGer-act. 10 Beilage A4). Auf einem Konto bei der People's Bank in Chavakachcheri besassen die Gesuchsteller am 14. September 2015 ein Deposit in der Höhe von Rs 1 Mio und ein weiteres Deposit von Rs 850'000.-. Das Sparguthaben auf dieser Bank beträt Rs 18'867.03 (entspricht zusammen rund USD 12'900.-; BVGer-act. 10 Beilage A5). Des Weiteren kann den Akten entnommen werden, dass die Gesuchsteller seit dem 6. Mai 2013 Land im Wert von LKR 500'000.- besitzen (entspricht rund USD 3'460.-; BVGer-act. 10 Beilage A1). Seit dem 18. April 2013 sind sie im Besitz von einem Landstück im Wert von Rs 25'000.- (USD 172; SEM-act. 5/46). Zudem besitzen sie seit dem 25. Juni 1975 Land im Wert von LRK 2'000.- (entspricht rund USD 14.-; BVGer-act. 10 Beilage A2). Ihr Land und Haus sollen laut einer Schätzung einen Marktwert von Rs 30 Mio. (USD 207'350.-) haben (BVGer-act. 10 Beilage A3). Angesichts eines durchschnittlichen Jahreseinkommens von USD 3'460.- in Sri Lanka (The World Bank, Data, GNI per capita, Atlas method (current US$), Sri Lanka, &lt; http://data.worldbank.org/indicator/NY.GNP.PCAP.CD &gt; abgerufen im März 2016), verfügen die Gesuchsteller mit rund USD 34'870.- (Deposite, Sparguthaben) über ein beachtliches Vermögen. Es entspricht rund 10 durchschnittlichen Jahreseinkommen in Sri Lanka. Zusätzlich werden ihr Haus und die Landstücke auf rund USD 207'350.- geschätzt. Ein regelmässig generiertes Erwerbseinkommen lässt dieses Vermögen jedoch nicht zu. Nur auf dieser monetären Grundlage kann die Wiederausreise der Gesuchsteller nicht als gesichert eingestuft werden. Zudem schenkt die Beschwerdeführerin den Gesuchstellern jedes Jahr Fr. 700.-, was nicht gerade für ein gesichertes Erwerbseinkommen spricht, auch wenn sie dies freiwillig tut. Ebenso der Umstand, dass die Aufenthaltskosten in der Schweiz nicht von den Gesuchstellern selbst getragen werden, sondern bei einem Besuch finanziell vollständig von der Beschwerdeführerin abhängig sein würden, spricht gegen das Bild von gut situierten Gästen (SEM-act. 7/122; 5/30 und 111). Überdies scheinen die Gesuchsteller für ihre Farm abkömmlich zu sein. So soll während ihrer dreimonatigen Abwesenheit ein Bruder die Reisfelder unterhalten und verwalten (BVGer act. 10 Beilage AA). Demzufolge obliegen ihnen wohl auch keine zwingenden beruflichen Verpflichtungen. Die Gewähr für eine fristgerechte Wiederausreise wurde auch insoweit nicht belegt.</w:t>
      </w:r>
    </w:p>
    <w:p>
      <w:r>
        <w:rPr>
          <w:b/>
        </w:rPr>
        <w:t>E. 6.3</w:t>
      </w:r>
    </w:p>
    <w:p>
      <w:r>
        <w:t>Insgesamt betrachtet, sind somit weder in den familiären oder gesellschaftlichen noch beruflichen und damit wirtschaftlichen Verhältnissen der Gesuchsteller Be­sonderheiten erkennbar, die eine Emigration als unwahrscheinlich erachten lassen. 7.Vor dem allgemeinen und persönlichen Hintergrund (insbesondere der unvollständigen Darlegung der wirtschaftlichen Situation) durfte die Vor- instanz demnach davon ausgehen, dass keine hinreichende Gewähr für eine fristgerechte und anstandslose Wiederausreise der Gesuchsteller nach einem Besuchsaufenthalt besteht. 8.An der Richtigkeit dieser Einschätzung ändert auch die Tatsache nichts, dass die Beschwerdeführerin über einen guten Leumund verfügt. Die Integrität der Beschwerdeführerin in ihrer Eigenschaft als Gastgeberin wird denn in keiner Weise in Zweifel gezogen. Indessen sind bei der Abwägung des Risikos einer nicht fristgerechten Wiederausreise nicht so sehr die Einstellung und die Ab­sichten des Gastgebers, sondern in erster Linie das mögliche Verhalten der eingeladenen Personen selbst von Bedeutung. Nur Letztere sind in der Lage, hinrei­chend Ge­währ für eine fristgerechte und anstandslo­se Wiederausreise zu bie­ten. Denn in ihrer Eigenschaft als Gastgeberin kann die Beschwerdeführerin zwar für gewisse finanzielle Risiken (Lebensunterhaltskosten während des Besuchsaufenthaltes, allfällig ungedeckte Kosten für Unfall oder Krankheit sowie Rückreisekosten) Garantie leisten, nicht aber - mangels rechtlicher und faktischer Durchsetzbarkeit - für ein bestimmtes Verhalten der Gäste (vgl. dazu BVGE 2009/27 E. 9). 9.Gründe für die Ausstellung eines Visums mit räumlich beschränkter Gültigkeit (vgl. E. 4.5) wurden von der Beschwerdeführerin nicht geltend gemacht und ergeben sich auch sonst nicht aus den Akten. 10.Aus den vorstehenden Erwägungen folgt, dass die angefochtene Verfügung sich im Lichte von Art. 49 VwVG als rechtmässig erweist. Die Beschwerde ist daher abzuweisen. 11.Entsprechend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