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C-4632/2014 vom 15. Juli 2015</w:t>
      </w:r>
    </w:p>
    <w:p>
      <w:r>
        <w:t>Bundesverwaltungsgericht, 2015-07-15, FR</w:t>
      </w:r>
    </w:p>
    <w:p>
      <w:r>
        <w:rPr>
          <w:b/>
        </w:rPr>
        <w:t xml:space="preserve">Quelle: </w:t>
      </w:r>
      <w:r>
        <w:t>https://mcp.opencaselaw.ch/entscheid/bvger_C-4632_2014</w:t>
      </w:r>
    </w:p>
    <w:p>
      <w:r>
        <w:t>FR: TAF C-4632/2014 du 15 juillet 2015</w:t>
      </w:r>
    </w:p>
    <w:p>
      <w:r>
        <w:t>IT: TAF C-4632/2014 del 15 luglio 2015</w:t>
      </w:r>
    </w:p>
    <w:p>
      <w:pPr>
        <w:pStyle w:val="Heading2"/>
      </w:pPr>
      <w:r>
        <w:t>Regeste</w:t>
      </w:r>
    </w:p>
    <w:p>
      <w:r>
        <w:t>Substances thérapeutiques (divers)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Partant, au vu de ce qui précède, il convient de rejeter le recours du 18 août 2014 et de confirmer la décision entreprise.</w:t>
      </w:r>
    </w:p>
    <w:p>
      <w:r>
        <w:rPr>
          <w:b/>
        </w:rPr>
        <w:t>E. 12</w:t>
      </w:r>
    </w:p>
    <w:p>
      <w:r>
        <w:t>Vu l'issue du litige, il appartient à la recourante de supporter les frais de procédure (art. 63 al. 1 PA) qui comprennent l'émolument judiciaire et les débours (art. 1 du règlement du 21 février 2008 concernant les frais, dépens et indemnités fixés par le Tribunal administratif fédéral [FITAF, RS 173.320.2]) et sont calculés en fonction de la valeur litigieuse, de l'ampleur et de la difficulté de la cause, de la façon de procéder des parties et de leur situation financière (art. 2 al. 1 FITAF). En l'espèce, les frais sont fixés à Fr. 500.-- et sont compensés par l'avance sur les frais de procédure dont la recourante s'est acquitté au cours de l'instruction. Par ailleurs, il n'est pas alloué de dépens (art. 7 FITAF). (Le dispositif se trouve à la page suivante).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