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C-4625/2009 vom 31. März 2011</w:t>
      </w:r>
    </w:p>
    <w:p>
      <w:r>
        <w:t>Bundesverwaltungsgericht, 2011-03-31, DE</w:t>
      </w:r>
    </w:p>
    <w:p>
      <w:r>
        <w:rPr>
          <w:b/>
        </w:rPr>
        <w:t xml:space="preserve">Quelle: </w:t>
      </w:r>
      <w:r>
        <w:t>https://mcp.opencaselaw.ch/entscheid/bvger_C-4625_2009</w:t>
      </w:r>
    </w:p>
    <w:p>
      <w:r>
        <w:t>FR: TAF C-4625/2009 du 31 mars 2011</w:t>
      </w:r>
    </w:p>
    <w:p>
      <w:r>
        <w:t>IT: TAF C-4625/2009 del 31 marzo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Bundesgesetzes vom 20. Dezember 1968 über das Verwaltungsverfahren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2007/41 E. 2 und Urteil des Bundesverwaltungsgerichts A 2682/2007 vom 7. Oktober 2010 E. 1.2 und 1.3).</w:t>
      </w:r>
    </w:p>
    <w:p>
      <w:r>
        <w:rPr>
          <w:b/>
        </w:rPr>
        <w:t>E. 3</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eine erstmalige Aufenthalts­bewilligung erteilt worden; da er jedoch mit Gesuch vom 15. Dezember 2008 die Verlängerung dieser Bewilligung beantragt hat, ist im vorliegen­den Verfahren neues Recht anwendbar.</w:t>
      </w:r>
    </w:p>
    <w:p>
      <w:r>
        <w:rPr>
          <w:b/>
        </w:rPr>
        <w:t>E. 3.2</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1. Juli 2009 (http://www.bfm. admin.ch/content/dam/data/migration/rechtsgrundlagen/weisungen_und_kreisschreiben/weisungen_auslaenderbereich/verfahren_und_zustaen-dig­keiten/1-verfahren-zustaendigkeiten-d.pdf).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4</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2. aktuali­sier­te Auflage, Zürich 2009, Art. 50 AuG N 4). Art. 49 AuG spricht inso­weit von wichtigen Gründen, die in der Botschaft zum AuG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 Thurnherr [Hrsg.], Stämpflis Hand­kommen­tar zum Bundes­ge­setz über die Ausländerinnen und Ausländer [AuG], Art. 49 N 24; Urteile des Bundes­gerichts 2C_314/2010 vom 26. Juli 2010 E. 2.2 und 2C_544/2010 vom 23. Dezember 2010 E. 2.3.1). Hält im Falle erheb­licher Eheprobleme das Getrenntleben an, so stellt sich die Frage, ob die Tren­nung als definitiv und die Familien­gemein­schaft damit als aufgelöst zu betrachten ist (vgl. Marc Spescha, a.a.O. Art. 49 AuG N. 3).</w:t>
      </w:r>
    </w:p>
    <w:p>
      <w:r>
        <w:rPr>
          <w:b/>
        </w:rPr>
        <w:t>E. 6</w:t>
      </w:r>
    </w:p>
    <w:p>
      <w:r>
        <w:t>Der Beschwerdeführer hat zum einen behauptet, die häusliche Gemein­schaft mit seiner Ehefrau sei erst nach mehr als drei Jahren Ehe - d.h. nach dem 13. Dezember 2005 - beendet worden; zum anderen hat er geltend gemacht, die Ehegemeinschaft sei auch noch nach der Auflösung des gemeinsamen Haus­halts fortgeführt worden.</w:t>
      </w:r>
    </w:p>
    <w:p>
      <w:r>
        <w:rPr>
          <w:b/>
        </w:rPr>
        <w:t>E. 6.1</w:t>
      </w:r>
    </w:p>
    <w:p>
      <w:r>
        <w:t>Hätten die Ehegatten drei Jahre an einer gemein­samen Adresse gelebt, so könnte vermutet werden, dass bis dahin auch ihre eheliche Gemeinschaft intakt gewesen ist. Aufgrund der Akten be­ste­hen jedoch erhebliche Zweifel, dass ihre Haushaltsgemeinschaft der­art lange gedauert hat. Unbestritten hat A._______ am 23. Juni 2005 allein seinen Wohnsitz in E._______ angemeldet; seine Ehefrau wandte sich erst - und auf polizeiliche Aufforderung hin - am 21. No­vember 2005 an die Einwohnerkontrolle. Diese nahm ihre Anmeldung jedoch nicht mehr vor­, da sie den gemeinsamen Wohnsitz der Ehegatten bezweifelte. Zuvor, am 17. November 2005, hatten beide Ehe­gatten gegenüber der Stadt­polizei B._______ geäussert, dass Eheprobleme bestünden und die Ehe­­frau deswegen beabsichtige, eine eigene Woh­nung zu beziehen. Der Beschwerdeführer machte hierzu keine zeitlichen Angaben. Demgegen­über - und laut Bericht der Stadt­polizei B._______ vom 18. November 2005 - gab seine Ehe­frau an, sie halte sich wegen der Ehe­probleme häufig bei ihren Eltern auf, werde aber am 1. Dezember 2005 nach R._______ um­ziehen. Der Einwohnerkontrolle E._______ - so deren Schreiben vom 21. November 2005 an das Migrationsamt - teilte sie mit, dass sie ab ca. 2 Wochen (ab anfangs Dezember 05) in R._______ ... wohnhaft sei. Ins­gesamt deuten diese Umstände darauf hin, dass der gemeinsame Haus­halt der Ehegatten bereits im Sommer 2005, spä­tes­tens jedoch an­fangs Dezem­ber 2005 aufgelöst war.</w:t>
      </w:r>
    </w:p>
    <w:p>
      <w:r>
        <w:rPr>
          <w:b/>
        </w:rPr>
        <w:t>E. 6.2</w:t>
      </w:r>
    </w:p>
    <w:p>
      <w:r>
        <w:t>Der Beschwerdeführer hat die obigen Erklärungen seiner Ex-Ehefrau nicht bestritten, allerdings betont, dass diese nur indirekt wiedergegeben worden seien. Auf diese informellen Angaben dürfe daher nicht abgestellt werden, vielmehr sei die Ankündigung ihres Um­zugs in eine eigene Woh­nung nur als unverbindliche Absichts­er­klä­rung zu verstehen. Zur Frage, wann genau die Auflösung des gemein­sa­men Haushalts erfolgt sei, habe die Vorinstanz ihn und seine Ehefrau - auch später - nicht einver­nom­men. Zu seinen Gunsten sei daher davon aus­zu­gehen, dass der gemein­same Haushalt erst nach drei­jähriger Ehedauer, im Verlaufe des Monats Dezember 2005, aufgehoben worden sei. Diese Behauptungen unter­stel­len der Vorinstanz, den rechtserheblichen Sachverhalt nicht hinrei­chend abgeklärt zu haben.</w:t>
      </w:r>
    </w:p>
    <w:p>
      <w:r>
        <w:rPr>
          <w:b/>
        </w:rPr>
        <w:t>E. 6.3</w:t>
      </w:r>
    </w:p>
    <w:p>
      <w:r>
        <w:t>Art. 19 VwVG i.V.m. Art. 37 des Bundesgesetzes über den Zivil­prozess vom 4. Dezember 1947 (BZP, SR 273) verpflichtet die Behörde nicht, alle von der betroffenen Person gewünschten, sondern nur die Ab­klä­rungen zu tätigen, für die aufgrund konkreter Anhaltspunkte auch An­lass besteht. Von beantragten Beweiserhebungen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Alfred Kölz/ Isabelle Häner, Verwaltungsverfahren und Verwaltungsrechtspflege des Bundes, 2. Auflage, Zürich 1998, Rz 319 f.;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136 I 229 E. 5.3. S. 236 mit Hinweis).</w:t>
      </w:r>
    </w:p>
    <w:p>
      <w:r>
        <w:rPr>
          <w:b/>
        </w:rPr>
        <w:t>E. 6.4</w:t>
      </w:r>
    </w:p>
    <w:p>
      <w:r>
        <w:t>Die äusseren und unbestrittenen Umstände - die einzelne An­mel­dung des Ehemannes in E._______, der Aufent­halt der Ehefrau bei ih­ren Eltern, die gemeinsamen Eheprobleme - wecken Zweifel, ob es über­haupt noch bis Anfang Dezember 2005 eine gemeinsame Haushalts­gemeinschaft gab. Fest steht allerdings - auch der Beschwerdeführer hat dies in seiner Rechtsmitteleingabe eingeräumt - dass die Ehefrau zum 1. Dezember 2005 eine eigene Wohnung angemietet hat. Angesichts ihrer am 17. und 21. November 2005 widerspruchsfrei geäusserten Ankündi­gung, zu diesem Zeitpunkt bzw. anfangs Dezember nach R._______ umzu­ziehen, durfte die Vorinstanz jedoch ohne Weiteres davon ausgehen, dass diese Absicht kurz darauf auch verwirklicht wurde. Auch die polizei­liche Einvernahme der Ehefrau vom 19. Dezember 2006 liefert hierfür kei­ne gegenteiligen Anhaltspunkte. Schliesslich ist festzustellen, dass sich der Beschwerdeführer - trotz der ihm in Hinblick auf die Sach­verhalts­feststellung nach Art. 13 VwVG obliegen­den Mitwirkungs­pflicht - gar nicht konkret zum Zeitpunkt der Haushaltsauflösung äussert, sondern nur behauptet, diese sei jedenfalls erst nach dreijähriger Ehe­dauer er­folgt. Vor diesem Hintergrund kann der Vorinstanz nicht vor­geworfen werden, zu­sät­zliche Abklärungen zur Frage der räum­lichen Trennung der Ehe­gatten unterlassen zu haben.</w:t>
      </w:r>
    </w:p>
    <w:p>
      <w:r>
        <w:rPr>
          <w:b/>
        </w:rPr>
        <w:t>E. 6.5</w:t>
      </w:r>
    </w:p>
    <w:p>
      <w:r>
        <w:t>Wurde somit der gemeinsame Haushalt vor Ablauf von drei Jahren aufgehoben, so stellt sich die Frage, ob die eheliche Gemeinschaft trotz­dem weiterhin Bestand hatte. Wie oben dargelegt (E. 5), kann dies bei Vor­­liegen wichtiger Gründe angenommen werden, u.a. auch bei einer vor­über­­­­gehenden Trennung wegen erheblicher familiärer Probleme. Ge­gen die Annahme einer vorübergehenden Trennung spricht im vor­lie­genden Fall zwar der Umstand, dass die Haushaltsgemeinschaft gar nicht wieder aufgenommen und die Ehe schliesslich geschieden wurde, aller­dings kann nicht ausgeschlossen werden, dass die Ehegatten wo­möglich zu Be­ginn ihrer Trennung noch mit der Lösung ihrer Probleme und der baldigen Wiederaufnahme des Zusammenlebens rechneten. Die reine Be­hauptung der Ehegatten, die Wiedervereinigung ange­strebt zu haben, reicht für eine entsprechende Annahme jedoch nicht aus. Viel­mehr muss sich der fortbestehende Ehewillen daran ablesen lassen, ob und welche Kontakte die Ehegatten weiterhin gepflegt und welche An­stren­gungen sie zur Überwindung der gemeinsamen Schwierigkeiten un­ter­nommen haben (vgl. Marc Spescha, a.a.O., Art. 49 AuG N. 3).</w:t>
      </w:r>
    </w:p>
    <w:p>
      <w:r>
        <w:rPr>
          <w:b/>
        </w:rPr>
        <w:t>E. 6.6</w:t>
      </w:r>
    </w:p>
    <w:p>
      <w:r>
        <w:t>Der Beschwerdeführer hat geltend gemacht, nach der Auflösung des gemeinsamen Haushalts im Verlauf des Monats Dezember 2005 habe er sich mit seiner Ehefrau während rund dreiviertel Jahren einmal pro Wo­che getroffen und daneben regelmässig telefonischen Kontakt gepflegt. Abgesehen von seiner unzutreffenden zeitlichen Einordung der ge­trenn­ten Wohnsitznahme bleibt damit offen, ob die Ehegemeinschaft tat­säch­lich in der beschriebenen Weise fortgeführt wurde. Die vagen und nicht nachprüfbaren Angaben zur weiteren Kontaktpflege werden auch durch die Aussagen der Ex-Ehefrau nicht näher präzisiert. Diese hat bei ihrer Einvernahme am 19. Dezember 2006 lediglich ausweichend geant­wortet, als sie zur Zukunft der Ehe befragt wurde; ohne Weiteres hätte sie jedoch die Fragen, die nur die Absichten bezüglich Scheidung und Wieder­­aufnahme der ehelichen Gemeinschaft betrafen, mit einem klaren Ja oder Nein beantworten können. Ihre gewollt unverbindlichen Erklä­rungen kön­nen nicht zugunsten des Beschwerdeführers den Beweis er­bringen, dass über den Zeitpunkt der räumlichen Trennung hinaus die eheliche Gemein­schaft weiterbestanden hat. Dass N._______ bei ihrer poli­zei­lichen Einvernahme angab, lediglich das erste Halb­jahr ihrer Ehe sei in Ordnung gewesen, lässt es ohnehin nicht glaubhaft erscheinen, dass die Ehegatten über Jahre hinweg und auch noch nach ihrer Trennung nach einer Lösung für ihre ehelichen Probleme suchten. Nicht einmal konkrete Anhalts­punkte - beispielsweise die Inan­spruch­nahme professioneller Hilfe - sind diesbezüglich von den Ehegatten genannt worden. Schliess­lich haben die Ausnahmebestimmungen von Art. 49 AuG und Art. 76 VZAE auch nicht den Sinn, dem Ehepartner eines Schweizer Bürgers solange das Aufenthaltsrecht zu sichern, bis feststeht, dass seine Ehe endgültig gescheitert ist. Vielmehr ist bei einer Trennung wegen famili­ä­rer Probleme eine Ausnahme vom rechtsbegründenden Erfordernis des Zusammenlebens nur dann denkbar, wenn diese Probleme an die Schwere häuslicher Gewalt heranreichen (vgl. Urteil des Bundesgerichts 2C_314/2010 vom 26. Juli 2010 E. 2.2). Hierfür bestehen im vorliegenden Fall keine Anhaltspunkte.</w:t>
      </w:r>
    </w:p>
    <w:p>
      <w:r>
        <w:rPr>
          <w:b/>
        </w:rPr>
        <w:t>E. 6.7</w:t>
      </w:r>
    </w:p>
    <w:p>
      <w:r>
        <w:t>Nach Meinung des Beschwerdeführers hätte die Vorinstanz ihn und seine Ex-Ehefrau auch zur Frage, ob nach ihrer Trennung die eheliche Gemeinschaft fortbestanden habe, einvernehmen müssen. Zumindest im vorliegenden Verfahren sei diese Beweisfrage durch Parteibefragung und Zeugeneinvernahme zu klären.</w:t>
      </w:r>
    </w:p>
    <w:p>
      <w:r>
        <w:rPr>
          <w:b/>
        </w:rPr>
        <w:t>E. 6.8</w:t>
      </w:r>
    </w:p>
    <w:p>
      <w:r>
        <w:t>Soweit der Beschwerdeführer seine persönliche Befragung bean­tragt, ist darauf hinzuweisen, dass das Verwaltungsrechtspflegeverfahren vom Grundsatz der Schriftlichkeit geprägt ist (vgl. Fritz Gygi, Bundesver­wal­tungs­rechtspflege, Bern 1983, S. 65 und 201). Ein Anspruch auf eine mündliche Anhörung bzw. Parteibefragung besteht infolgedessen nicht (BGE 134 I 140 E. 5.3 S. 148; Patrick Krauskopf/Kathrin Emmenegger in: Waldmann/Weissenberger [Hrsg.], Praxiskommentar VwVG, Zürich 2009, Art. 12 N. 74 und 105). Grundsätzlich bestünde damit zwar immer noch Raum für eine Beweiserhebung nach Art. 12 Bst. b VwVG; da es dem Beschwerdeführer aber nur noch darum gehen kann, seine bisher schriftlich dargelegte Sicht der Dinge mündlich zu wiederholen, können hiervon keine neuen Erkenntnisse erwartet werden. Gleiches gilt für die beantragte Zeugeneinvernahme der Ex-Ehefrau; da diese sich bei ihrer Einvernahme vom 19. Dezember 2006 bewusst unverbindlich zum Fort­bestand der ehelichen Gemeinschaft geäussert hat, kann nicht damit ge­rechnet werden, dass neuere Schilderungen ein anderes Bild der ehe­lichen Gemeinschaft zeichnen würden. Aufgrund antizipierter Beweis­würdi­gung (hierzu E. 6.3) kann daher auf weitere Beweiserhebungen verzichtet werden.</w:t>
      </w:r>
    </w:p>
    <w:p>
      <w:r>
        <w:rPr>
          <w:b/>
        </w:rPr>
        <w:t>E. 6.9</w:t>
      </w:r>
    </w:p>
    <w:p>
      <w:r>
        <w:t>Im Ergebnis steht damit fest, dass die eheliche Gemeinschaft des Beschwerdeführers vor Ablauf von drei Jahren beendet war. Art. 50 Abs. 1 Bst. a AuG findet in seinem Fall somit keine Anwendung. Im Rahmen dieser Bestimmung kommt es auf die behauptete Integration - die ein kumulatives Kriterium wäre - nicht mehr an.</w:t>
      </w:r>
    </w:p>
    <w:p>
      <w:r>
        <w:rPr>
          <w:b/>
        </w:rPr>
        <w:t>E. 7</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jedoch nicht kumulativ erfüllt sein (BGE 136 II 1 E. 5 S. 3 ff.). Weitere wichtige - und im Zusam­men­hang mit der Ehe stehenden Gründe - können sich auch daraus ergeben, dass der in der Schweiz lebende Ehepartner gestorben ist oder gemein­same Kinder vorhanden sind (vgl. Marc Spescha, a.a.O. Art. 50 AuG N. 7 sowie Mar­tina Caroni in: Caroni/Gächter/Thurnherr [Hrsg.], a.a.O., Art. 50 N 23 f.).</w:t>
      </w:r>
    </w:p>
    <w:p>
      <w:r>
        <w:rPr>
          <w:b/>
        </w:rPr>
        <w:t>E. 7.1</w:t>
      </w:r>
    </w:p>
    <w:p>
      <w:r>
        <w:t>Im Falle des Beschwerdeführers sind jedoch keine spezifischen, auf seiner Ehe bzw. deren Auflösung beruhenden Gründe ersichtlich, die ihm einen Anspruch auf weiteren Verbleib in der Schweiz verschaffen könn­ten. Insbesondere lässt der Umstand, dass seine Ehe gescheitert ist, nicht erkennen, dass seine soziale Wiedereingliederung im Herkunftsland (Kroatien) stark gefährdet wäre. Da aus seiner Ehe keine Kinder hervorgegangen sind, können auch keine entsprechend en­gen familiären Beziehungen einen wichtigen Grund für die Verlängerung seiner Aufent­haltsbewilligung darstellen.</w:t>
      </w:r>
    </w:p>
    <w:p>
      <w:r>
        <w:rPr>
          <w:b/>
        </w:rPr>
        <w:t>E. 7.2</w:t>
      </w:r>
    </w:p>
    <w:p>
      <w:r>
        <w:t>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(BGE 2C_411/ 2010 E. 4.1). Aus­drück­lich werden dort aufgeführt: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w:t>
      </w:r>
    </w:p>
    <w:p>
      <w:r>
        <w:rPr>
          <w:b/>
        </w:rPr>
        <w:t>E. 7.3</w:t>
      </w:r>
    </w:p>
    <w:p>
      <w:r>
        <w:t>Der Beschwerdeführer hat insbesondere betont, er habe sich in der Schweiz erfolgreich integriert, und diesbezüglich auf seine laufende Wei­ter­bildung im IT-Bereich und die guten Referenzen seines Arbeit­gebers verwiesen. In beruflicher Hinsicht hat die Vorinstanz seine Integration zwar bejaht; sie ist allerdings der Ansicht, dass die gesamthafte Inte­gration aufgrund der strafrechtlichen Verurteilungen und der erheb­lichen Schulden verneint werden müsse. Aus den Akten ergibt sich, dass der Beschwerdeführer viermal aufgrund strassenverkehrsrechtlicher Ver­stös­se mit Strafbefehl verurteilt wurde: am 13. Dezember 2005 zu einer Busse von Fr. 160.-, am 21. September 2006 zu einer Busse von Fr. 40.-, am 17. September 2007 zu einer bedingten Geldstrafe von 20 Tages­sätzen à Fr. 120.- und einer Busse von Fr. 800.-, woraufhin ihn das Migra­tionsamt zu künftigem Wohlverhalten ermahnte, sowie am 4. Juli 2008 zu einer Busse von Fr. 300.-. Unbestritten ist auch sein ursprünglicher Schulden­berg von mehr als Fr. 50'000.-. Der Beschwerdeführer betrach­tet seine Verurteilungen zwar als Bagatellen und hat die vollständige Rückzahlung seiner Schulden bis Ende 2009 in Aus­sicht gestellt; dennoch machen die strafrechtlichen Verfehlungen und die innerhalb weniger Jahre erfolgte hohe Verschuldung deutlich, dass er sich in gesell­schaftlicher Hinsicht nicht anstandslos in die hiesigen Le­bens­verhältnisse hat einfügen kön­nen. Festzustellen ist, dass A._______ bei seiner ersten Einreise in die Schweiz, 1992, Eltern und andere Verwandte in Sarajevo bzw. in Split zurückliess, dass er sich Ende 1997 nach Kroatien abmeldete und fünf Jahre später, im Dezember 2002, im Familien­nachzug wieder in die Schweiz gelangte. Es ist angesichts dessen nicht ersichtlich - und wird von ihm auch nicht konkret geltend gemacht - dass er sich bei seiner Rückkehr nach Kroatien nicht mehr in den dortigen Verhältnissen zurecht­finden könnte. Vielmehr darf davon aus­gegangen werden, dass er dort immer noch über ein verwandt­schaft­liches Umfeld verfügt und dass ihm die hier erwor­benen Fähigkeiten bei der beruflichen Wiedereingliederung von Nutzen sein werden. Ohne Belang ist es, wenn der Beschwerde­führer in seiner Heimat wirt­schaft­liche Verhältnisse vor­findet, die nicht de­nen der Schweiz ent­sprechen. Da er, mittlerweile erst 36 Jahre alt, offen­sichtlich keine gra­vierenden gesund­heitlichen Probleme hat, ergeben sich insgesamt ge­sehen auch keine wichtigen persönlichen Gründe, die eine Ver­längerung seiner Aufenthaltsbewilligung erfordern würden.</w:t>
      </w:r>
    </w:p>
    <w:p>
      <w:r>
        <w:rPr>
          <w:b/>
        </w:rPr>
        <w:t>E. 8</w:t>
      </w:r>
    </w:p>
    <w:p>
      <w:r>
        <w:t>Schliesslich hat der Beschwerdeführer geltend gemacht, in der Ver­gan­gen­heit hätten die kantonalen Behörden seine Aufenthalts­bewilligung an­stands­los verlängert, obwohl sie über die eheliche Trennung informiert gewesen seien. Hieraus kann der Beschwerdeführer, auch wenn er sich seit über acht Jahren in der Schweiz aufhält, nichts zu seinen Gunsten ableiten, war er es doch selbst, der das Migrationsamt zur falschen Einschätzung der Sachlage veranlasste. Dieses nahm bereits 2005 Abklä­run­gen zum Wohnsitz der Ehegatten vor. Fälschlicherweise ging es zunächst davon aus, dass die eheliche Gemeinschaft trotz Trennung fort­bestehen würde und unter­breitete infolgedessen das letzte Gesuch des Beschwerdeführers um Verlängerung der Aufenthaltsbewilligung erst nach dessen Scheidung dem BFM zur Zustimmung. Dem Beschwerde­führer war von Anfang an bewusst, dass sich sein Aufenthaltsanspruch - so der bis Ende 2007 geltende Art. 7 Abs. 1 ANAG - aus dem Bestand seiner Ehe ableitete; aus diesem Grund wurde die Ehe der Form halber aufrecht erhalten. Die insoweit rechtsmissbräuchlichen Absichten des Be­schwerdeführers können kein schützenswertes Vertrauen nach sich ziehen.</w:t>
      </w:r>
    </w:p>
    <w:p>
      <w:r>
        <w:rPr>
          <w:b/>
        </w:rPr>
        <w:t>E. 9</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kann daher nicht beanstandet werden.</w:t>
      </w:r>
    </w:p>
    <w:p>
      <w:r>
        <w:rPr>
          <w:b/>
        </w:rPr>
        <w:t>E. 10</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10.1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10.2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 C-6627/2008 vom 26. März 2010 E. 8.2 mit Hinweisen).</w:t>
      </w:r>
    </w:p>
    <w:p>
      <w:r>
        <w:rPr>
          <w:b/>
        </w:rPr>
        <w:t>E. 10.3</w:t>
      </w:r>
    </w:p>
    <w:p>
      <w:r>
        <w:t>Der Beschwerdeführer hat sich nicht zur Zumutbarkeit des Wegweisungsvollzug geäussert. Angesichts der politischen Entwicklung in Kroatien - das Land ist seit 2000 parlamentarische Demokratie, seit 2004 offizieller EU-Beitrittskandidat und seit 2009 Mitglied der NATO - ist es aber auch nicht vorstellbar, dass er dort in eine existenzbedrohende Situa­tion geraten könnte. Der Vollzug seiner Wegweisung ist somit als zumutbar zu erachten.</w:t>
      </w:r>
    </w:p>
    <w:p>
      <w:r>
        <w:rPr>
          <w:b/>
        </w:rPr>
        <w:t>E. 11</w:t>
      </w:r>
    </w:p>
    <w:p>
      <w:r>
        <w:t>Aus diesen Darlegungen folgt, dass die angefochtene Verfügung als recht­mässig zu bestätigen ist (Art. 49 VwVG). Die Beschwerde ist demzufolge abzuweisen.</w:t>
      </w:r>
    </w:p>
    <w:p>
      <w:r>
        <w:rPr>
          <w:b/>
        </w:rPr>
        <w:t>E. 12</w:t>
      </w:r>
    </w:p>
    <w:p>
      <w:r>
        <w:t>Entsprechend dem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