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C-4624/2012 vom 25. November 2014</w:t>
      </w:r>
    </w:p>
    <w:p>
      <w:r>
        <w:t>Bundesverwaltungsgericht, 2014-11-25, DE</w:t>
      </w:r>
    </w:p>
    <w:p>
      <w:r>
        <w:rPr>
          <w:b/>
        </w:rPr>
        <w:t xml:space="preserve">Quelle: </w:t>
      </w:r>
      <w:r>
        <w:t>https://mcp.opencaselaw.ch/entscheid/bvger_C-4624_2012</w:t>
      </w:r>
    </w:p>
    <w:p>
      <w:r>
        <w:t>FR: TAF C-4624/2012 du 25 novembre 2014</w:t>
      </w:r>
    </w:p>
    <w:p>
      <w:r>
        <w:t>IT: TAF C-4624/2012 del 25 novembre 2014</w:t>
      </w:r>
    </w:p>
    <w:p>
      <w:pPr>
        <w:pStyle w:val="Heading2"/>
      </w:pPr>
      <w:r>
        <w:t>Regeste</w:t>
      </w:r>
    </w:p>
    <w:p>
      <w:r>
        <w:t>Rentenanspruch</w:t>
      </w:r>
    </w:p>
    <w:p>
      <w:pPr>
        <w:pStyle w:val="Heading2"/>
      </w:pPr>
      <w:r>
        <w:t>Erwägungen</w:t>
      </w:r>
    </w:p>
    <w:p>
      <w:r>
        <w:rPr>
          <w:b/>
        </w:rPr>
        <w:t>E. 1</w:t>
      </w:r>
    </w:p>
    <w:p>
      <w:r>
        <w:t>Vorliegend ist strittig und zu beurteilen, ob der Beschwerdeführer Anspruch auf eine höhere als von der Vorinstanz am 22. August 2012 zugesprochene Rente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1.4</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2.1</w:t>
      </w:r>
    </w:p>
    <w:p>
      <w:r>
        <w:t>Gestützt auf die Stellungnahme von Dr. D._______ vom 11. Dezember 2011 (IV-act. 19) nahm die Vorinstanz an, der Beschwerdeführer sei in seiner zuletzt ausgeübten Tätigkeit als Maschineneinsteller seit dem 16. März 2001 zu 20 % und seit dem 30. April 2011 zu 70 % arbeitsunfähig. In angepassten, leichten, etwa sitzenden Tätigkeiten bestehe dagegen seit 30. April 2011 eine tiefere Arbeitsunfähigkeit von 20 %. Dabei könne der Beschwerdeführer ein Invalideneinkommen von Fr. 3'282.27 pro Monat erzielen. Dies führe bei einem Valideneinkommen von Fr. 5'525.- zu einem Invaliditätsgrad von gerundet 42 %, bei welchem Anspruch auf eine Viertelsrente bestehe (Verfügungsbegründung vom 11. Juli 2012 [IV-act. 29] und Einkommensvergleich vom 6. Januar 2012 [IV-act. 20]).</w:t>
      </w:r>
    </w:p>
    <w:p>
      <w:r>
        <w:rPr>
          <w:b/>
        </w:rPr>
        <w:t>E. 2.2</w:t>
      </w:r>
    </w:p>
    <w:p>
      <w:r>
        <w:t>Demgegenüber macht der Beschwerdeführer unter anderem geltend, die vorliegende Einschätzung weiche von derjenigen im österreichischen Verfahren ab. Er sei erneut ärztlich zu untersuchen. Zudem verweist er auf einen anderen Betroffenen, der eine höhere Rente erhalte (BVGer-act. 1). Im Weiteren macht der Beschwerdeführer sinngemäss eine fehlende Verwertbarkeit seiner Restarbeitsfähigkeit aufgrund seines Alters geltend (Nachricht vom 11. Februar 2013, BVGer-act 12).</w:t>
      </w:r>
    </w:p>
    <w:p>
      <w:r>
        <w:rPr>
          <w:b/>
        </w:rPr>
        <w:t>E. 3.1</w:t>
      </w:r>
    </w:p>
    <w:p>
      <w:r>
        <w:t>Der Beschwerdeführer ist österreichischer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w:t>
      </w:r>
    </w:p>
    <w:p>
      <w:r>
        <w:rPr>
          <w:b/>
        </w:rPr>
        <w:t>E. 3.5</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 was für die schweizerischen bzw. österreichischen Rechtsvorschriften nicht zutrifft.</w:t>
      </w:r>
    </w:p>
    <w:p>
      <w:r>
        <w:rPr>
          <w:b/>
        </w:rPr>
        <w:t>E. 3.6</w:t>
      </w:r>
    </w:p>
    <w:p>
      <w:r>
        <w:t>Entgegen dem Vorbringen des Beschwerdeführers (BVGer-act. 1) bestimmt sich demnach die Frage, ob und gegebenenfalls ab wann Anspruch auf Leistungen der schweizerischen Invalidenversicherung besteht, allein aufgrund der schweizerischen Rechtsvorschriften.</w:t>
      </w:r>
    </w:p>
    <w:p>
      <w:r>
        <w:rPr>
          <w:b/>
        </w:rPr>
        <w:t>E. 4</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22. August 2012) eingetretenen Sachverhalt ab (BGE 129 V 1 E. 1.2 mit Hinweis).</w:t>
      </w:r>
    </w:p>
    <w:p>
      <w:r>
        <w:rPr>
          <w:b/>
        </w:rPr>
        <w:t>E. 5.1</w:t>
      </w:r>
    </w:p>
    <w:p>
      <w:r>
        <w:t>Bei den materiellen Bestimmungen des IVG und der Verordnung über die Invalidenversicherung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5.2</w:t>
      </w:r>
    </w:p>
    <w:p>
      <w:r>
        <w:t>Vorliegend ist der Anspruch auf eine Invalidenrente ab dem 1. Oktober 2011 strittig und zu beurteilen (vgl. nachstehende E. 7.3 und 9). Für die Zeitspanne bis zum 31. Dezember 2011 ist somit das alte Recht massgebend, für die Prüfung eines allfälligen Rentenanspruchs ab dem 1. Januar 2012 ist auf die Bestimmungen der 6. IV-Revision abzustellen.</w:t>
      </w:r>
    </w:p>
    <w:p>
      <w:r>
        <w:rPr>
          <w:b/>
        </w:rPr>
        <w:t>E. 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7.1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7.2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sowie dort lebende Schweizer Bürgerinnen und Bürger ebenfalls eine Viertelsrente beanspruchen.</w:t>
      </w:r>
    </w:p>
    <w:p>
      <w:r>
        <w:rPr>
          <w:b/>
        </w:rPr>
        <w:t>E. 7.3</w:t>
      </w:r>
    </w:p>
    <w:p>
      <w:r>
        <w:t>Der Rentenanspruch entsteht gemäss Art. 29 IVG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9</w:t>
      </w:r>
    </w:p>
    <w:p>
      <w:r>
        <w:t>Vorweg ist festzuhalten, dass sich der Beschwerdeführer am 31. März 2011 bei der Invalidenversicherung anmeldete (vgl. IV-act. 28), weshalb ein etwaiger Rentenanspruch frühestens ab 1. Oktober 2011 besteht (E. 7.3 hievor). Zu prüfen ist demnach die Arbeitsfähigkeit ab diesem Zeitpunkt.</w:t>
      </w:r>
    </w:p>
    <w:p>
      <w:r>
        <w:rPr>
          <w:b/>
        </w:rPr>
        <w:t>E. 10.1</w:t>
      </w:r>
    </w:p>
    <w:p>
      <w:r>
        <w:t>In medizinischer Hinsicht liegen gemäss den Gutachten der Dres. F._______ und G._______ (vom 21. Juni bzw. 12. Juli 2011) folgende Diagnosen vor: Stumpfbeschwerden linker Unterschenkel bei Zustand nach traumatischer Unterschenkelamputation links 2002 (nach Motoradunfall), Zustand nach mehreren Operationen am linken Oberschenkel bei Zustand nach offener Oberschenkelfraktur 2002, Verlängerungsosteotomie 2008 und Metallentfernung 2010, Zustand nach operativer Versorgung einer Unterarmtrümmerfraktur links 2002 mit daraus resultierender eingeschränkter Beweglichkeit im linken Handgelenk (IV-act. 14 S. 3 Ziff. 8, IV-act. 13 S. 3 Ziff. 9). Gemäss den übereinstimmenden Beurteilungen des funktionellen Leistungsvermögens einschliesslich der Leistungsfähigkeit in angepasster Tätigkeit der Dres. F._______, Facharzt für Orthopädie und orthopädische Chirurgie (vgl. Gutachten vom 21. Juni 2011), und G._______, Ärztin für Allgemeinmedizin (vgl. Gutachten vom 12. Juli 2011), sind dem Beschwerdeführer nur noch sitzende, körperlich leichte Tätigkeiten mit leichten Hebe- und Trageleistungen bei eingeschränkter Belastbarkeit der linken Hand zumutbar (IV-act. 14 S. 3 Ziff. 9 und S. 5 Ziff. 17, IV-act. 13 S. 3 Ziff. 10 am Ende und S. 5 Ziff. 17), wobei ständig sitzende und ständig körperlich leichte Tätigkeiten, fallweise auch unter besonderem Zeitdruck, vollschichtig zumutbar seien und auch ein Anmarschweg von mindestens 500 Metern ohne Pause möglich sei und die üblichen Arbeitspausen ausreichend seien (IV-act. 14 S. 5, IV-act. 13 S. 5).</w:t>
      </w:r>
    </w:p>
    <w:p>
      <w:r>
        <w:rPr>
          <w:b/>
        </w:rPr>
        <w:t>E. 10.2</w:t>
      </w:r>
    </w:p>
    <w:p>
      <w:r>
        <w:t>Dr. D._______ hielt darauf gestützt auf die genannten Gutachten in seiner Stellungnahme vom 11. Dezember 2011 fest (IV-act. 19), der 50-jährige Versicherte, der nach einem Motorradunfall mit einer Prothese wieder habe arbeiten können, habe in letzter Zeit vermehrt Probleme mit dem Amputationsstumpf im Sinne von offenen Wunden und auch vermehrt Hüft- und Rückenprobleme gehabt, weshalb ab 30. April 2011 in der bisherigen Tätigkeit eine Arbeitsunfähigkeit von 70 % (davor seit 2001: 20 %) und in einer angepassten, nur noch sitzenden Tätigkeit eine Arbeitsunfähigkeit von 20 % anzunehmen sei. Als mögliche Verweistätigkeiten wurden etwa die Arbeit als Telefonist oder als Billett-Verkäufer genannt (IV-act. 19 S. 4).</w:t>
      </w:r>
    </w:p>
    <w:p>
      <w:r>
        <w:rPr>
          <w:b/>
        </w:rPr>
        <w:t>E. 11</w:t>
      </w:r>
    </w:p>
    <w:p>
      <w:r>
        <w:t>Die Stellungnahme von Dr. D._______ (vom 11. Dezember 2011) ist als zuverlässig zu beurteilen. Sie ist insbesondere in Kenntnis der sorgfältig erstellten, auf eigenen Untersuchungen beruhenden aktuellen Gutachten der Dres. F._______ und G._______ (vom 21. Juni 2011 bzw. vom 31. Mai 2011) abgegeben worden. Die Expertisen der Dres. F._______ und G._______ wurden zwar ohne Einschätzungen von behandelnden Ärzten erstattet (vgl. "Zusatzbefunde/mitgebrachte Befunde: Vorgutachten Dr. H._______ vom 8. August 2002" [IV-act. 14 S. 2 Ziff. 7] bzw. "keine neuen" [IV-act. 13 S. 2 Ziff. 7]), sie berücksichtigen jedoch alle geklagten Beschwerden - Beschwerden des Bewegungsapparates, Beschwerden aufgrund des immer wieder offenen Stumpfes, Hüftbeschwerden (Arthrose), LWS-Beschwerden (ständige Kreuzschmerzen) und belastungsabhängige rezidivierende Handgelenksschmerzen links (IV-act. 13 S. 2 f. und 10, IV-act. 14 S. 2 f.) - und beruhen auf eingehenden klinischen Untersuchungen und sind nachvollziehbar begründet. Gestützt auf die Aktenbeurteilung von Dr. D._______ ist eine Arbeitsunfähigkeit von 20 % (ab dem 30. April 2011) bzw. eine Arbeitsfähigkeit von 80 % in angepasster Tätigkeit zuverlässig ausgewiesen. Die im Vergleich zur bisherigen mittelschweren Tätigkeit als Maschineneinsteller, bei welcher der Beschwerdeführer laut Arbeitgeberangabe nicht alle Maschinen bedienen konnte (vgl. IV-act. 10 S. 6), höhere Arbeitsfähigkeit in einer angepassten, vorwiegend sitzenden Tätigkeit ist nachvollziehbar. Dass Dr. D._______ dabei in angepasster Tätigkeit eine im Vergleich zu den Dres. F._______ und G._______ (Untersuchungen vom 21. Juni 2011 bzw. vom 31. Mai 2011), auf welche auch der Beschwerdeführer hinweist (BVGer-act. 13), geringere, für den Beschwerdeführer günstigeren Arbeitsfähigkeit in angepasster Tätigkeit annimmt (von 80 % statt 100 % ["vollschichtig" in IV-act. 13 S. 5 und IV-act. 14 S. 5 am Anfang]), ist nicht zu beanstanden. Von den beantragten weiteren medizinischen Abklärungen sind keine neuen Erkenntnisse zu erwarten, weshalb darauf zu verzichten ist (antizipierte Beweiswürdigung, BGE 124 V 94 E. 4b). Zum weiteren Vorbringen des Beschwerdeführers, ein anderer Betroffener erhalte eine höhere Rente (BVGer-act. 1), kann hier nicht Stellung genommen werden, doch ist zu betonen, dass die vorliegende Einschätzung von Dr. D._______ als zuverlässig zu beurteilen ist. Entgegen dem weiteren Vorbringen des Beschwerdeführers (vgl. Nachricht vom 11. Februar 2013, BVGer-act 12) besteht sodann keine fehlende Verwertbarkeit der Restarbeitsfähigkeit (auf einem ausgeglichenen Arbeitsmarkt, BGE 110 V 273 E. 4b, 130 V 343 E. 3.2), insbesondere kann eine solche nicht mit dem Alter des 1961 geborenen Beschwerdeführers, bei welchem noch eine relativ lange Aktivitätsdauer bis zum Erreichen des AHV-Alters besteht, begründet werden (vgl. dazu etwa Urteile des Bundesgerichts 8C_482/2010 vom 27. September 2010 und I 336/03 vom 8. Januar 2004 E. 2).</w:t>
      </w:r>
    </w:p>
    <w:p>
      <w:r>
        <w:rPr>
          <w:b/>
        </w:rPr>
        <w:t>E. 12</w:t>
      </w:r>
    </w:p>
    <w:p>
      <w:r>
        <w:t>Zu prüfen bleibt die erwerbliche Seite.</w:t>
      </w:r>
    </w:p>
    <w:p>
      <w:r>
        <w:rPr>
          <w:b/>
        </w:rPr>
        <w:t>E. 12.1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Hält sich die gesundheitlich beeinträchtigte Person im Ausland auf bzw. hat sie dort Wohnsitz, sind die zur Bestimmung des Invaliditätsgrades massgebenden Vergleichseinkommen - Validen- sowie Invalideneinkommen -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etwa Urteil des Bundesgerichts I 822/06 vom 6. November 2007).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Für die Ermittlung des Valideneinkommens, also des Einkommens, welches die versicherte Person nach dem Beweisgrad der überwiegenden Wahrscheinlichkeit als Gesunde tatsächlich verdient hätte, wird in der Regel am zuletzt erzielten Verdienst angeknüpft.</w:t>
      </w:r>
    </w:p>
    <w:p>
      <w:r>
        <w:rPr>
          <w:b/>
        </w:rPr>
        <w:t>E. 12.2</w:t>
      </w:r>
    </w:p>
    <w:p>
      <w:r>
        <w:t>Als Valideneinkommen nahm die Vorinstanz ein auf den schweizerischen LSE-Tabellenlohn des Papier- und Kartongewerbes gestütztes Einkommen von Fr. 5'525.- pro Monat bzw. bei Umrechnung des auf 40 Wochenstunden basierenden Werts auf die im Jahr 2008 betriebsübliche wöchentliche Arbeitszeit von 41.3 Stunden von Fr. 5'704.56 pro Monat an (IV-act. 20; LSE 2008, S. 26, TA1 Ziff. 21, Anforderungsniveau 4, welches einfache und repetitive Tätigkeiten umfasst). Vorliegend ist in Bezug auf das hypothetische Valideneinkommen jedoch unklar, welches die letzte Tätigkeit des Beschwerdeführers vor seinem Motorradunfall gewesen war. Aufgrund der Verfahrensakten ist einzig bekannt, dass der Beschwerdeführer gelernter Koch ist und später als Fleischhauer und zuletzt bis zur Auflösung des Arbeitsverhältnissen als Maschinenführer in einer Druckerei gearbeitet hat (vgl. IV-act. 13 S. 1 mit Angabe einer arbeitgeberseitigen Kündigung wegen häufiger Krankenstände).</w:t>
      </w:r>
    </w:p>
    <w:p>
      <w:r>
        <w:rPr>
          <w:b/>
        </w:rPr>
        <w:t>E. 13</w:t>
      </w:r>
    </w:p>
    <w:p>
      <w:r>
        <w:t>Bei der in Bezug auf die Erwerbssituation des Beschwerdeführers vor seinem Motoradunfall unklaren und unvollständigen Aktenlage lässt sich das Valideneinkommen nicht zuverlässig bestimmen. Die Beschwerde ist damit in dem Sinne gutzuheissen, als die angefochtene Verfügung vom 22. August 2012 aufgehoben und die Sache an die IVSTA zurückgewiesen wird, damit diese, nach weiteren erwerblichen Abklärungen neu verfüge.</w:t>
      </w:r>
    </w:p>
    <w:p>
      <w:r>
        <w:rPr>
          <w:b/>
        </w:rPr>
        <w:t>E. 14.1</w:t>
      </w:r>
    </w:p>
    <w:p>
      <w:r>
        <w:t>Zu befinden bleibt noch über die Verfahrenskosten und eine allfällige Parteientschädigung.</w:t>
      </w:r>
    </w:p>
    <w:p>
      <w:r>
        <w:rPr>
          <w:b/>
        </w:rPr>
        <w:t>E. 14.2</w:t>
      </w:r>
    </w:p>
    <w:p>
      <w:r>
        <w:t>Da eine Rückweisung praxisgemäss als Obsiegen der beschwerdeführenden Partei gilt, sind weder dem Beschwerdeführer noch der Vorinstanz Verfahrenskosten aufzuerlegen (Art. 63 Abs. 1 e contrario und 2 VwVG; vgl. BGE 132 V 215 E. 6.1).</w:t>
      </w:r>
    </w:p>
    <w:p>
      <w:r>
        <w:rPr>
          <w:b/>
        </w:rPr>
        <w:t>E. 14.3</w:t>
      </w:r>
    </w:p>
    <w:p>
      <w:r>
        <w:t>Dem nicht anwaltlich vertretenen Beschwerdeführer sind keine unverhältnismässig hohen Kosten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