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C-4620/2011 vom 12. März 2013</w:t>
      </w:r>
    </w:p>
    <w:p>
      <w:r>
        <w:t>Bundesverwaltungsgericht, 2013-03-12, DE</w:t>
      </w:r>
    </w:p>
    <w:p>
      <w:r>
        <w:rPr>
          <w:b/>
        </w:rPr>
        <w:t xml:space="preserve">Quelle: </w:t>
      </w:r>
      <w:r>
        <w:t>https://mcp.opencaselaw.ch/entscheid/bvger_C-4620_2011</w:t>
      </w:r>
    </w:p>
    <w:p>
      <w:r>
        <w:t>FR: TAF C-4620/2011 du 12 mars 2013</w:t>
      </w:r>
    </w:p>
    <w:p>
      <w:r>
        <w:t>IT: TAF C-4620/2011 del 12 marzo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w:t>
      </w:r>
    </w:p>
    <w:p>
      <w:r>
        <w:t>In formeller Hinsicht rügt der Beschwerdeführer eine Verletzung des rechtlichen Gehörs, weil er keine Möglichkeit erhalten habe, sich zum Erlass der Fernhaltemassnahme zu äussern.</w:t>
      </w:r>
    </w:p>
    <w:p>
      <w:r>
        <w:rPr>
          <w:b/>
        </w:rPr>
        <w:t>E. 3.1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 / Giorgio Malinverni / Michel Hottelier, Droit constitutionnel suisse Vol. II., Les droits fondamentaux, 2. Aufl., Bern 2006, S. 606 ff.; Benoit Bovay, Procédure administrative, Bern 2000, S. 207 ff.; Ulrich Häfelin / Georg Müller / Felix Uhlmann, Allgemeines Verwaltungsrecht, 6. vollständig überarbeitete Aufl., Zürich / St. Gallen 2010, Rz. 1672 ff.; Alfred Kölz / Isabelle Häner, Verwaltungsverfahren und Verwaltungsrechtspflege des Bundes, 2. Aufl., Zürich 1998, Rz. 129 ff. und 292 ff.; Jörg Paul Müller / 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3.2</w:t>
      </w:r>
    </w:p>
    <w:p>
      <w:r>
        <w:t>Aus den Akten geht hervor, dass die Einwohnerdienste Thun als zuständige Migrationsbehörde dem Beschwerdeführer mit Schreiben vom 2. November 2010 unter eingehender Schilderung des Sachverhalts im Zusammenhang mit einem Verfahren um Nichtverlängerung der Aufenthaltsbewilligung und Wegweisung signalisierten, beim BFM ein Einreiseverbot zu beantragen und ihm dazu das rechtliche Gehör gewährten. Von dieser Möglichkeit machte er keinen Gebrauch. Dass dem Beschwerdeführer das rechtliche Gehör nicht durch die verfügende Behörde selbst gewährt wurde, ist nicht von Belang (vgl. beispielsweise Urteil des BVGer C-8562/2010 vom 11. Oktober 2012 E. 4.3 mit Hinweis). Sein Gehörsanspruch wurde somit durch das beschriebene Verhalten der Behörden ohne weiteres gewahrt.</w:t>
      </w:r>
    </w:p>
    <w:p>
      <w:r>
        <w:rPr>
          <w:b/>
        </w:rPr>
        <w:t>E. 4.1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5.1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und ganz allgemein dann vor, wenn gesetzliche Vorschriften oder behördliche Verfügungen missachtet werden.</w:t>
      </w:r>
    </w:p>
    <w:p>
      <w:r>
        <w:rPr>
          <w:b/>
        </w:rPr>
        <w:t>E. 5.3</w:t>
      </w:r>
    </w:p>
    <w:p>
      <w:r>
        <w:t>Mit Blick auf die Betäubungsmitteldelinquenz des Massnahmebelasteten gilt es des Weiteren zu berücksichtigen, dass Drogenhandel nebst Gewalt- und Sexualdelikten zu den Ver­haltensweisen gehört, die besonders hochrangige Rechtsgüter betreffen und die daher aus präventivpolizeilicher Sicht einen strengen Beurteilungsmass­stab rechtfertigen (BGE 125 II 521 E. 4a/aa S. 526 f.; Ur­teil des Bundesgerichts 2A.308/2004 vom 4. Oktober 2004 E. 3.3; Alain Wurzburger, La jurisprudence récente du Tribunal fédéral en ma­tière de police des étrangers, in: RDAF 53/1997 I, S. 42). Das bedeutet un­ter anderem, dass zum Schutz der Rechtsgenossen nur ein geringes Ri­siko des Rückfalls einer einschlägig vorbestraften Person in Kauf genom­men werden darf (Urteil des BVGer C-2196/2008 vom 17. März 2011 E. 9.3.3.). Widerhandlungen gegen das BetmG sind ohne weiteres als Verstoss gegen die öffentliche Sicherheit und Ordnung zu qualifizieren und können daher die Anordnung von (zum Teil langen) Fernhaltemassnahmen nach sich ziehen (vgl. etwa Urteil des BVGer C-3254/2012 vom 14. November 2012 E. 4.3 mit Hinweisen). Zudem erweist sich in Konstellationen, in welchen kein sogenannter Vertragsausländer betroffen ist, auch die Berücksichtigung generalpräventiver Aspekte als zulässig (siehe Urteil des Bundesgerichts 2C_282/2012 vom 31. Juli 2012 E. 2.5 mit weiteren Hinweisen sowie Urteil des BVGer C-3593/2009 vom 18. Juni 2012 E. 5.3 in fine mit Hinweis).</w:t>
      </w:r>
    </w:p>
    <w:p>
      <w:r>
        <w:rPr>
          <w:b/>
        </w:rPr>
        <w:t>E. 6.1</w:t>
      </w:r>
    </w:p>
    <w:p>
      <w:r>
        <w:t>Wie aus dem Sachverhalt hervorgeht, hat sich der Beschwerdeführer (u.a.) schwerer Widerhandlungen gegen das BetmG schuldig gemacht. Deswegen sowie wegen Geldwäscherei wurde er vom Kreisgericht X in Thun am 8. Mai 2007 strafrechtlich zur Rechenschaft gezogen (bedingte Freiheitsstrafe von 18 Monaten und Busse von Fr. 500.-). Konkret befand ihn das Strafgericht schuldig, in der Zeit von Juni 2005 bis zur Verhaftung im April 2006 zirka 265 Gramm Heroingemisch (entspricht etwa 29 Gramm reinem Heroin) verkauft zu haben. Aus ausländerrechtlicher Optik schwer wiegen in diesem Zusammenhang vor allem die mehrfache und teilweise mengenmässig qualifizierte Tatbegehung (Art. 19 Ziff. 2 BetmG).</w:t>
      </w:r>
    </w:p>
    <w:p>
      <w:r>
        <w:rPr>
          <w:b/>
        </w:rPr>
        <w:t>E. 6.2</w:t>
      </w:r>
    </w:p>
    <w:p>
      <w:r>
        <w:t>Auch die in den drei seitherigen Strafurteilen (vom 25. Juni 2009, 30. September 2010 bzw. 23. November 2010, siehe Sachverhalt Bst. B vorstehend) sanktionierten Taten stellen nicht allesamt Bagatelldelikte dar; dies gilt insbesondere nicht für das Führen eines Personenwagens mit einer Blutalkoholkonzentration von 1,91 Promille (Strafurteil vom 25. Juni 2009), den mehrfachen Diebstahl und den Hausfriedensbruch (30. September 2010). Allein schon die beschriebene Abfolge strafrechtlicher Verfehlungen lässt darauf schliessen, dass der Beschwerdeführer offenkundig Mühe hat, sich an die hiesige Rechtsordnung zu halten. Aufgrund dessen steht ausser Frage, dass der Beschwerdeführer im Sinne von Art. 67 Abs. 2 Bst. a AuG gegen die öffentliche Sicherheit und Ordnung verstossen und damit einen Fernhaltegrund gesetzt hat. Hinzu kommt, dass der Beschwerdeführer seit dem Frühjahr 2009 die überwiegende Zeit Leistungen der Sozialhilfe in Anspruch genommen hat. Im Januar 2011 beliefen sich die von ihm bezogenen Gelder auf nicht ganz Fr. 22'000.-. Demzufolge hat der Beschwerdeführer zusätzlich den Fernhaltegrund von Art. 67 Abs. 2 Bst. b AuG erfüllt (vgl. hierzu beispielsweise Urteil des BVGer C-2944/2009 vom 11. Januar 2012 E. 5.1). Diese Ergänzung der vorinstanzlichen Begründung ist im Sinne einer Motivsubstitution durchaus möglich und zulässig (vgl. E. 2 sowie Urteil des BVGer C-56/2011 vom 12. Oktober 2012 E. 6 mit Hinweis).</w:t>
      </w:r>
    </w:p>
    <w:p>
      <w:r>
        <w:rPr>
          <w:b/>
        </w:rPr>
        <w:t>E. 6.3</w:t>
      </w:r>
    </w:p>
    <w:p>
      <w:r>
        <w:t>Zusammenfassend ist festzuhalten, dass der Beschwerdeführer in mehrfacher Hinsicht gegen die öffentliche Sicherheit und Ordnung verstossen hat. Die Verhängung der Fernhaltemassnahme erweist sich damit grundsätzlich als gerechtfertigt.</w:t>
      </w:r>
    </w:p>
    <w:p>
      <w:r>
        <w:rPr>
          <w:b/>
        </w:rPr>
        <w:t>E. 7.1</w:t>
      </w:r>
    </w:p>
    <w:p>
      <w:r>
        <w:t>Es ist im Folgenden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7.2</w:t>
      </w:r>
    </w:p>
    <w:p>
      <w:r>
        <w:t>Das Fehlverhalten des Beschwerdeführers wiegt aus präventiv-polizeilicher Sicht schwer. Ausländische Straftäter,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E. 5.3 hiervor; zur strengen Praxis des Bundesgerichts siehe ferner BGE 125 II 521 E. 4a/aa und E. 4a/bb S. 526 ff., Urteile des Bundesgerichts 2C_282/2012 vorerwähnt sowie 2C_768/2011 vom 4. Mai 2012 E. 4.3 und 2C_1029/2011 vom 10. April 2012 E. 3.3.1).</w:t>
      </w:r>
    </w:p>
    <w:p>
      <w:r>
        <w:rPr>
          <w:b/>
        </w:rPr>
        <w:t>E. 7.3</w:t>
      </w:r>
    </w:p>
    <w:p>
      <w:r>
        <w:t>Auch in subjektiver Hinsicht kann das Fehlverhalten des Beschwerdeführers entgegen der Parteivertreterin weder im fraglichen Bereich noch generell relativiert oder gar bagatellisiert werden. Als unzutreffend erweist sich insbesondere die Behauptung, ihr Mandant habe niemanden zum Drogenkonsum bewegt und das Heroin nur an zwei Personen verkauft, welche ihrerseits seit längerer Zeit Drogen konsumiert hätten. Vielmehr hat er die Abnehmer gebeten, den Stoff an unbekannte Konsumenten weiterzuverkaufen und ihm den Erlös nach Serbien zu überweisen. Es genügt an dieser Stelle der Verweis auf E. 5b des kantonalen Beschwerdeentscheids vom 10. Juni 2011 betr. Nichtverlängerung der Aufenthaltsbewilligung und Wegweisung. Das Strafgericht ging denn, wie an anderer Stelle erwähnt, vom qualifizierten Tatbestand aus. Ebenfalls nicht zu Gute gehalten werden können ihm die jeweils bedingt ausgesprochenen Strafen. Zum einen schliessen die Strafjustizbehörden bei der Gewährung des bedingten Strafvollzugs durch die Bestimmung einer Probezeit nicht jegliche Rückfallgefahr aus, zum anderen bestehen beim Beschwerdeführer bezüglich der günstigen Prognose etwelche Bedenken. So machte er sich lediglich zwei Monate nach der Verurteilung vom 8. Mai 2007 - mithin zu Beginn der Probezeit - des Fahrens in angetrunkenem Zustand, der Entwendung eines Personenwagens zum Gebrauch und sonstiger Delikte schuldig. Auch spätere Freiheits- und Geldstrafen liessen ihn weitgehend unbeeindruckt. Selbst dem Konsum harter Drogen hat er nicht gänzlich abgeschworen, wie das Strafmandat vom 23. November 2010 (Busse wegen Konsum von Kokain und Opiaten) offenbart. Von Wohlverhalten oder günstiger Prognose kann insoweit keine Rede sein. Ohnehin ist der fragliche Zeitraum - verglichen mit dem bisherigen deliktischen Verhalten und angesichts der Art der zum Teil verletzten Rechtsgüter - als zu kurz bemessen, um davon ausgehen zu können, der Beschwerdeführer werde sich künftig an die geltende Rechtsordnung halten.</w:t>
      </w:r>
    </w:p>
    <w:p>
      <w:r>
        <w:rPr>
          <w:b/>
        </w:rPr>
        <w:t>E. 7.4</w:t>
      </w:r>
    </w:p>
    <w:p>
      <w:r>
        <w:t>Dem öffentlichen Interesse an einer Fernhaltung stellt der Beschwerdeführer sodann seine privaten Interessen gegenüber. Konkret genannt werden der Voraufenthalt in der Schweiz, das hier aufgebaute soziale Netz und nicht zuletzt sein inniges Verhältnis zur Mutter, die inzwischen Schweizer Bürgerin geworden ist.</w:t>
      </w:r>
    </w:p>
    <w:p>
      <w:r>
        <w:rPr>
          <w:b/>
        </w:rPr>
        <w:t>E. 7.4.1</w:t>
      </w:r>
    </w:p>
    <w:p>
      <w:r>
        <w:t>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Urteil des BVGer C-8562/2010 vom 11. Oktober 2012 E. 7.2 mit Hinweis). Die Erteilung und Verlängerung von Aufenthaltsbewilligungen fällt grundsätzlich in die Zuständigkeit der Kantone, wobei im Falle einer Bewilligungserteilung das bestehende Einreiseverbot aufzuheben wäre (vgl. Urteil des Bundesgerichts 2C_793/2008 vom 27. März 2009 E. 3.2 mit Hinweisen). Das Gesuch um Verlängerung der Aufenthaltsbewilligung ist von den zuständigen kantonalen Behörden abgewiesen worden (siehe den rechtskräftigen Beschwerdeentscheid vom 10. Juni 2011 der Polizei- und Militärdirektion des Kantons Bern). Somit darf sich der Beschwerdeführer derzeit nur zu Besuchszwecken in der Schweiz aufhalten. Die Pflege regelmässiger persönlicher Kontakte zur Mutter scheitert mithin bereits am fehlenden Anwesenheitsrecht hierzulande. Somit stellt sich nurmehr die Frage, ob die durch die Verweigerung des Aufenthaltsrechts hinausgehende, durch das Einreiseverbot zusätzlich bewirkte Erschwernis vor Art. 8 EMRK bzw. Art. 13 Abs. 1 BV standhält.</w:t>
      </w:r>
    </w:p>
    <w:p>
      <w:r>
        <w:rPr>
          <w:b/>
        </w:rPr>
        <w:t>E. 7.4.2</w:t>
      </w:r>
    </w:p>
    <w:p>
      <w:r>
        <w:t>Da ein besonderes Abhängigkeitsverhältnis zwischen der Mutter und ihrem eben 27-jährig gewordenen - mithin seit geraumer Zeit volljährigen - Sohn weder erkennbar ist noch in irgendeiner Weise belegt wird, gelangen die vorgenannten Bestimmungen nicht zur Anwendung. Die Wirkungen des Einreiseverbots bestehen im Übrigen nicht darin, dem Beschwerdeführer während der Geltungsdauer der Massnahme Besuchsaufenthalte bei ihm nahe stehenden Personen in der Schweiz schlichtweg zu untersagen. Es steht ihm - und ist ihm auch bekannt (vgl. Zwischenverfügung vom 29. August 2011) - vielmehr die Möglichkeit offen, aus humanitären oder anderen wichtigen Gründen mittels Gesuch die zeitweilige Suspension der angeordneten Fernhaltemassnahme zu beantragen (Art. 67 Abs. 5 AuG). Die Suspension wird aber praxisgemäss nur für eine kurze und klar begrenzte Zeit gewährt. Im dargelegten Umfang und Rahmen kann den geltend gemachten privaten Interessen Rechnung getragen werden. Der Vollständigkeit halber sei darauf hingewiesen, dass der aus Serbien stammenden Mutter zumutbar ist, ihren erwachsenen Sohn dazwischen im Heimatland zu besuchen und den Kontakt daneben auf andere Weise aufrecht zu erhalten (Briefverkehr, Telefonate, Videotelefonie, SMS).</w:t>
      </w:r>
    </w:p>
    <w:p>
      <w:r>
        <w:rPr>
          <w:b/>
        </w:rPr>
        <w:t>E. 7.4.3</w:t>
      </w:r>
    </w:p>
    <w:p>
      <w:r>
        <w:t>Selbst wenn von einem unter dem Gesichtspunkt von Art. 13 Abs. 1 BV und Art. 8 EMRK relevanten Eingriff ausgegangen würde, wäre ein solcher unter den konkreten Begebenheiten gestützt auf Art. 8 Ziff. 2 EMRK als gerechtfertigt zu qualifizieren. Das deliktische Verhalten des Beschwerdeführers erreicht nämlich zweifellos die erforderliche Schwere, um unter besagtem Blickwinkel einen Eingriff in das Privat- und Familienleben zu begründen (vgl. Urteil des BVGer C-3593/2009 vom 18. Juni 2012 E. 7.3 mit Hinweisen).</w:t>
      </w:r>
    </w:p>
    <w:p>
      <w:r>
        <w:rPr>
          <w:b/>
        </w:rPr>
        <w:t>E. 7.5</w:t>
      </w:r>
    </w:p>
    <w:p>
      <w:r>
        <w:t>Schliesslich wird in der Beschwerdeschrift auf zwei in den Augen der Parteivertreterin ähnlich gelagerte Fälle verwiesen, in denen das Bundesverwaltungsgericht Einreiseverbote auf ein Jahr (BVGer C-4338/2008 vom 30. Dezember 2009) bzw. drei Jahre (BVGer C-5308/2007 vom 3. Dezember 2009) herabgesetzt hat. Den zitierten Fällen liegt indessen nur schon deshalb eine andere Konstellation zu Grunde, weil sich die fraglichen Personen auf das Freizügigkeitsabkommen berufen konnten (vgl. hierzu etwa Urteile des Bundesgerichts 2C_282/2012 vorerwähnt sowie 2C_1045/2011 vom 18. April 2012 E. 2.1 je mit Hinweisen). Daraus vermag der Beschwerdeführer folglich ebenfalls nichts zu seinen Gunsten abzuleiten.</w:t>
      </w:r>
    </w:p>
    <w:p>
      <w:r>
        <w:rPr>
          <w:b/>
        </w:rPr>
        <w:t>E. 7.6</w:t>
      </w:r>
    </w:p>
    <w:p>
      <w:r>
        <w:t>Eine wertende Gewichtung der sich entgegenstehenden öffentlichen und privaten Interessen führt zum Ergebnis, dass das auf fünf Jahre befristete Einreiseverbot sowohl vom Grundsatz her als auch in Bezug auf seine Dauer eine verhältnismässige und angemessene Massnahme zum Schutz der öffentlichen Sicherheit und Ordnung darstellt. Das Einreiseverbot ist daher zu bestätigen.</w:t>
      </w:r>
    </w:p>
    <w:p>
      <w:r>
        <w:rPr>
          <w:b/>
        </w:rPr>
        <w:t>E. 8</w:t>
      </w:r>
    </w:p>
    <w:p>
      <w:r>
        <w:t>Aus diesen Erwägungen folgt, dass die angefochtene Verfügung im Lichte von Art. 49 VwVG nicht zu beanstanden ist. Die Beschwerde ist deshalb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