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C-4620/2009 vom 15. September 2010</w:t>
      </w:r>
    </w:p>
    <w:p>
      <w:r>
        <w:t>Bundesverwaltungsgericht, 2010-09-15, DE</w:t>
      </w:r>
    </w:p>
    <w:p>
      <w:r>
        <w:rPr>
          <w:b/>
        </w:rPr>
        <w:t xml:space="preserve">Quelle: </w:t>
      </w:r>
      <w:r>
        <w:t>https://mcp.opencaselaw.ch/entscheid/bvger_C-4620_2009</w:t>
      </w:r>
    </w:p>
    <w:p>
      <w:r>
        <w:t>FR: TAF C-4620/2009 du 15 septembre 2010</w:t>
      </w:r>
    </w:p>
    <w:p>
      <w:r>
        <w:t>IT: TAF C-4620/2009 del 15 settembre 2010</w:t>
      </w:r>
    </w:p>
    <w:p>
      <w:pPr>
        <w:pStyle w:val="Heading2"/>
      </w:pPr>
      <w:r>
        <w:t>Regeste</w:t>
      </w:r>
    </w:p>
    <w:p>
      <w:r>
        <w:t>Rente</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Schweizerischen Ausgleichskasse, die den Vorinstanzen des Bundesverwaltungsgerichts zuzuordnen ist (Art. 33 lit. d VGG; vgl. auch Art. 85bis Abs. 1 des Bundesgesetzes über die Alters-, Hinterlassenen- und Invalidenversicherung vom 20. Dezember 1946 [AHVG, SR 831.10]).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 Dies trifft hier zu, da gemäss Art. 1 Abs. 1 AHVG die Bestimmungen des ATSG auf die im ersten Teil geregelte Alters- und Hinterlassenenversicherung anwendbar sind, soweit das AHVG nicht ausdrücklich eine Abweichung vom ATSG vorsieht, was hier nicht der Fall ist.</w:t>
      </w:r>
    </w:p>
    <w:p>
      <w:r>
        <w:rPr>
          <w:b/>
        </w:rPr>
        <w:t>E. 1.3</w:t>
      </w:r>
    </w:p>
    <w:p>
      <w:r>
        <w:t>Anfechtungsgegenstand des vorliegenden Verfahrens ist der Einspracheentscheid der Schweizerischen Ausgleichskasse vom 8. April 2009, womit die Abweisung des Rentengesuchs wegen Nichterfüllens der Mindestbeitragsdauer von einem Jahr bestätigt wurde.</w:t>
      </w:r>
    </w:p>
    <w:p>
      <w:r>
        <w:rPr>
          <w:b/>
        </w:rPr>
        <w:t>E. 1.4</w:t>
      </w:r>
    </w:p>
    <w:p>
      <w:r>
        <w:t>Der Beschwerdeführer hat die gesetzliche Beschwerdefrist von 30 Tagen (vgl. Art. 60 Abs. 1 ATSG) insofern grundsätzlich beachtet, als er am 3. Mai 2009 bei der - eigentlich unzuständigen - Vorinstanz eine Eingabe vorgelegt hat, was ihm gestützt auf Art. 39 Abs. 2 ATSG, auf welchen Art. 60 Abs. 2 ATSG verweist, nicht zum Nachteil gereicht. Statt diese Eingabe unmittelbar dem Gericht weiterzuleiten, hat die Vorinstanz jedoch selbst dem Beschwerdeführer eine (einmalig verlängerte) Nachfrist gesetzt, um dessen Beschwerdewillen zu erkunden. Mit Schreiben vom 6. Juli 2009 reagierte der Beschwerdeführer darauf, indem er die Rückvergütung der Beiträge beantragte, auf sein mangelhaftes Erinnerungsvermögen betreffend den zweiten Arbeitgeber in B._______ hinwies und gegebenenfalls die Weiterleitung seiner Eingabe an das Bundesverwaltungsgericht verlangte. Daraus kann wohl ein Beschwerdewillen entnommen werden, da der Beschwerdeführer mit dieser Eingabe mindestens implizite zum Ausdruck gibt, dass er sich mit dem Einspracheentscheid nicht begnügt und dagegen reagieren will. Ein ausdrücklicher, klar begründeter Beschwerdeantrag fehlt zwar immer noch, doch kann aus den gesamten Umständen, also insbesondere aus dem Korrespondenzwechsel des Beschwerdeführers mit der Vorinstanz und einhergehend mit seinem Antrag auf Rückvergütung der Beiträge vom 3. Mai 2009, implizite auch der Antrag eines rechtsunkundigen Laien auf Aufhebung des Einspracheentscheids angenommen werden mit der sinngemässen Begründung, er habe mit der zweiten Arbeitsstelle in B._______ insgesamt die Mindestbeitragsdauer erfüllt.</w:t>
      </w:r>
    </w:p>
    <w:p>
      <w:r>
        <w:rPr>
          <w:b/>
        </w:rPr>
        <w:t>E. 1.5</w:t>
      </w:r>
    </w:p>
    <w:p>
      <w:r>
        <w:t>Damit hat der Beschwerdeführer frist- und formgerecht Beschwerde erhoben. Durch die Verfügung ist er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australischer Staatsangehöriger und wohnt in Australien, so dass vorliegend das am 1. Januar 2008 in Kraft getretene Abkommen vom 9. Oktober 2006 zwischen der Schweiz und Australien über die Soziale Sicherheit (SR 0.831.109.158.1) Anwendung findet. Nach Art. 4 Ziffer 1 dieses Abkommens sind australische Staatsangehörige sowie deren Familienangehörige und Hinterlassene bei der Anwendung der schweizerischen Rechtsvorschriften den schweizerischen Staatsangehörigen bzw. deren Familienangehörigen und Hinterlassenen gleichgestellt. Demnach richtet sich vorliegend der Anspruch des Beschwerdeführers auf Leistungen der Alters- und Hinterlassenenversicherung nach dem schweizerischen Recht, insbesondere dem AHVG sowie der Verordnung über die Alters- und Hinterlassenenversicherung vom 31. Oktober 1947 (AHVV, SR 831.101), des ATSG und der entsprechenden Verordnung vom 11. September 2002 (ATSV, SR 830.11) sowie, was die vom Beschwerdeführer beantragte Rückvergütung der Beiträge anbelangt, die entsprechende Verordnung über die Rückvergütung der von Ausländern an die Alters- und Hinterlassenenversicherung bezahlten Beiträge (RV-AHV, SR 831.131.12).</w:t>
      </w:r>
    </w:p>
    <w:p>
      <w:r>
        <w:rPr>
          <w:b/>
        </w:rPr>
        <w:t>E. 4.1</w:t>
      </w:r>
    </w:p>
    <w:p>
      <w:r>
        <w:t>Im Folgenden zu prüfen ist, ob der Beschwerdeführer die in Art. 29 Abs. 1 AHVG gesetzlich statuierte einjährige Mindestbeitragsdauer (vgl. Art. 29 Abs. 1 AHVG) erfüllt hat, um einen Anspruch auf eine Leistung der Alters- und Hinterlassenenversicherung zu haben. Gestützt auf Art. 16 Ziffer 1 des bereits erwähnten zwischenstaatlichen Abkommens zwischen der Schweiz und Australien hat der Beschwerdeführer eine Rückvergütung der AHV-Beiträge beantragt, welche allerdings gemäss Art. 1 Abs. 1 RV-AHV ebenfalls eine einjährige Mindestbeitragsdauer voraussetzt.</w:t>
      </w:r>
    </w:p>
    <w:p>
      <w:r>
        <w:rPr>
          <w:b/>
        </w:rPr>
        <w:t>E. 4.2.1</w:t>
      </w:r>
    </w:p>
    <w:p>
      <w:r>
        <w:t>Anspruch auf eine ordentliche Alters- und Hinterlassenenrente (bzw. auf Rückvergütung der AHV-Beiträge gemäss der RV-AHV) haben nur Versicherte, denen für mindestens ein volles Jahr Einkommen, Erziehungs- oder Betreuungsgutschriften angerechnet werden können (Art. 29 Abs. 1 AHVG). Ein volles Beitragsjahr liegt gemäss Art. 50 Abs. 1 der AHVV vor, wenn eine Person insgesamt länger als elf Monate im Sinne von Art. 1a oder 2 AHVG versichert war und während dieser Zeit den Mindestbeitrag bezahlt hat (Variante 1, vgl. Art. 29ter Abs. 2 lit. a AHVG) oder aber Beitragszeiten aufweist, in welchen der Ehegatte gemäss Art. 3 Abs. 3 AHVG mindestens den doppelten Mindestbeitrag entrichtet hat (Variante 2, vgl. Art. 29ter Abs. 2 lit. b AHVG), oder für welche Erziehungs- oder Betreuungsgutschriften angerechnet werden können (Variante 3, vgl. Art. 29ter Abs. 2 lit. c AHVG) aufweist (BGE 125 V 253 E. 1b). Gemäss Art. 3 Abs. 1 AHVG sind die Versicherten beitragspflichtig, solange sie eine Erwerbstätigkeit ausüben. Sofern sie keine Erwerbstätigkeit ausüben, beginnt die Beitragspflicht am 1. Januar nach der Vollendung des 20. Altersjahres und dauert bei männlichen Versicherten bis zum Ende des Monats, in welchem sie das 65. Altersjahr vollendet haben. Art. 3 Abs. 2 Bst. a AHVG sieht vor, dass die erwerbstätigen Kinder bis zum 31. Dezember jenes Jahres, in welchem sie das 17. Altersjahr vollendet haben, von der Beitragspflicht befreit sind.</w:t>
      </w:r>
    </w:p>
    <w:p>
      <w:r>
        <w:rPr>
          <w:b/>
        </w:rPr>
        <w:t>E. 4.2.2</w:t>
      </w:r>
    </w:p>
    <w:p>
      <w:r>
        <w:t>Der Beschwerdeführer ist im Jahre 1939 geboren; er hat demnach das 17. Altersjahr 1956 zurückgelegt und war somit bis zum 31. Dezember dieses Jahres von der Beitragspflicht befreit. Aus den eingereichten Wohnsitzbestätigungen geht hervor, dass er vom 14. Mai 1957 bis zum 1. Oktober 1958 in G._______ und vom 14. November 1958 bis zum 15. Juli 1959 in B._______ wohnhaft gewesen war. Diese Zeiten fallen allerdings noch in die Jugendjahre des Beschwerdeführers. Die Wohnsitzdauer während dieser Jugendjahre (das heisst bis zum 31. Dezember des Jahres der Vollendung des 20. Altersjahres) dürfen nur dann als Beitragsdauer angerechnet werden, wenn während der gesamten Dauer dieser Jugendjahre auch tatsächlich Beiträge geleistet wurden, wobei die Aufenthaltsbewilligung B dem zivilrechtlichen Wohnsitz gleichgestellt wird (Urteile des Eidg. Versicherungsgerichts [EVG; heute: Bundesgericht] H 94/84 vom 24. Juli 1985 sowie I 189/90 vom 5. Juli 1991).</w:t>
      </w:r>
    </w:p>
    <w:p>
      <w:r>
        <w:rPr>
          <w:b/>
        </w:rPr>
        <w:t>E. 4.3.1</w:t>
      </w:r>
    </w:p>
    <w:p>
      <w:r>
        <w:t>Die Beitragsdauer einer versicherten Person bestimmt sich in der Regel nach ihrem individuellen Konto, in welches die für die Berechnung der ordentlichen Rente erforderlichen Angaben eingetragen werden (Art. 30ter Abs. 1 AHVG). Grundsätzlich dürfen im individuellen Konto nur Erwerbseinkommen eingetragen werden, von welchen dem Versicherten die gesetzlichen Beiträge abgezogen worden sind - unabhängig davon, ob der Arbeitgeber die entsprechenden Beiträge der Ausgleichskasse entrichtet hat (Art. 30ter Abs. 2 AHVG). Bei einwandfreiem Nachweis können auch Einkommen eingetragen werden, die ohne Lohnabzüge aufgrund einer Nettolohnvereinbarung ausgerichtet wurden (vgl. Ueli Kieser, Alters- und Hinterlassenenversicherung, Rechtsprechung des Bundesgerichts zum Sozialversicherungsrecht, 2. Aufl., Zürich 2005, N. 3 zu Art. 30ter).</w:t>
      </w:r>
    </w:p>
    <w:p>
      <w:r>
        <w:rPr>
          <w:b/>
        </w:rPr>
        <w:t>E. 4.3.2</w:t>
      </w:r>
    </w:p>
    <w:p>
      <w:r>
        <w:t>Der seit dem 1. Januar 1969 in Kraft stehende, vorliegend anwendbare Art. 140 Abs. 1 lit. d AHVV schreibt vor, dass das individuelle Konto das Beitragsjahr und die Beitragsdauer in Monaten umfassen muss. Für die Jahre 1948 bis 1968 wurden hingegen nur die Kalenderjahre der Beitragsleistung in die individuellen Konten eingetragen, so dass daraus die Beitragsdauer in Monaten nicht ersichtlich ist. Deshalb ist gemäss der Rechtsprechung des Eidg. Versicherungsgerichts (EVG; heute: Bundesgericht) in Fällen, in denen Belege mit näheren Angaben über die Beitragsdauer für die genannten Jahre (z.B. Wohnsitzbescheinigungen, Lohnabrechnungen, Arbeitszeugnisse, zusätzliche Angaben der kontenführenden Ausgleichskassen) fehlen, auf die eigens zur Ermittlung der mutmasslichen Beitragsdauer publizierten Tabellen des BSV abzustellen (BGE 107 V 7 E. 3b). Diese Vorgehensart beeinträchtigt die Rechtsstellung der Versicherten, die in den Jahren 1948 bis 1968 Beiträge geleistet haben, nicht, da sie aufgrund eines für diese Versicherten vorteilhaften versicherungsmathematischen Verfahrens erstellt wurde (beispielsweise werden die auf dem individuellen Konto registrierten Beiträge auf die nächsthöhere Klasse der Tabellen aufgerundet, was in den meisten Fällen eine längere als die effektive Beitragszeit ergibt). Auf die Anwendung dieser Tabellen darf gemäss bundesgerichtlicher Praxis nur verzichtet werden, wenn die tatsächliche Dauer der (beitragspflichtigen) Erwerbstätigkeit durch Arbeitszeugnisse, Lohnabrechnungen oder gleichwertige Bestätigungen des Arbeitgebers eindeutig ausgewiesen ist (vgl. Urteil des EVG H 317/02 vom 6. Januar 2004 E. 2.2.1 mit weiteren Hinweisen). Hierfür muss der Versicherte den vollen Beweis erbringen. Trotz dieser Beweislastverteilung ist auch der im Sozialversicherungsrecht allgemein geltende Untersuchungsgrundsatz zu berücksichtigen, wonach die Verwaltungsbehörde und im Streitfall das Gericht für die richtige und vollständige Abklärung des rechtserheblichen Sachverhalts zu sorgen hat, wobei die Untersuchungspflicht ihr Korrelat in den Mitwirkungspflichten der Parteien findet (BGE 125 V 193 E. 2, BGE 122 V 157 E. 1a, je mit weiteren Hinweisen). Im Fall der Beweislosigkeit fällt jedoch der Entscheid zu Ungunsten jener Partei aus, die daraus Rechte ableiten will (BGE 117 V 263 E. 3B mit Hinweisen).</w:t>
      </w:r>
    </w:p>
    <w:p>
      <w:r>
        <w:rPr>
          <w:b/>
        </w:rPr>
        <w:t>E. 4.3.3</w:t>
      </w:r>
    </w:p>
    <w:p>
      <w:r>
        <w:t>Gemäss dem individuellen Konto des Beschwerdeführers sind für diesen vom Arbeitgeber H._______ im Jahr 1957 Beiträge auf einem Einkommen von Fr. 2'950.-- und im Jahr 1958 auf ein solches von Fr. 3'425.-- abgerechnet worden. Die Vorinstanz hat nun entsprechend der Praxis auf die Tabelle des BSV zur Ermittlung der mutmasslichen Beitragsdauer in den Jahren 1956-1968, Erwerbszweig Nahrungsmittelindustrie und Gewerbe (Tabelle 20, Männerlöhne), abgestellt (vgl. Anhang IX der vom BSV herausgegebenen Wegleitung über die Renten [RWL]; gültig ab 1. Januar 2003, Stand: 1. Januar 2007). Danach entspricht das vom Beschwerdeführer im Jahre 1957 erzielte Einkommen von Fr. 2'950.-- einer Beitragsdauer von 5 Monaten und jenes von Fr. 3'425.-- im Jahre 1958 einer solchen von 6 Monaten, was insgesamt 11 Monate ergibt.</w:t>
      </w:r>
    </w:p>
    <w:p>
      <w:r>
        <w:rPr>
          <w:b/>
        </w:rPr>
        <w:t>E. 4.4.1</w:t>
      </w:r>
    </w:p>
    <w:p>
      <w:r>
        <w:t>Der Beschwerdeführer macht nun geltend, er habe sich in den Jahren 1957 und 1958 während rund 16-einhalb Monaten in G._______ und sodann ab Ende 1958 bis Mitte 1959 in B._______ aufgehalten, so dass die Beitragsdauer bei weitem erfüllt sei. Zudem sei ihm die Einreise nur bewilligt worden, wenn eine Arbeitsgenehmigung vorhanden gewesen sei. Somit verlangt er implizite eine Berichtigung seines individuellen Kontos.</w:t>
      </w:r>
    </w:p>
    <w:p>
      <w:r>
        <w:rPr>
          <w:b/>
        </w:rPr>
        <w:t>E. 4.4.2</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E. 4a). Diese Kontenbereinigung erstreckt sich alsdann auf die gesamte Beitragsdauer des Versicherten, betrifft also auch jene Beitragsjahre, für welche gemäss Art. 16 Abs. 1 AHVG jede Nachzahlung von Beiträgen ausgeschlossen ist.</w:t>
      </w:r>
    </w:p>
    <w:p>
      <w:r>
        <w:rPr>
          <w:b/>
        </w:rPr>
        <w:t>E. 4.4.3</w:t>
      </w:r>
    </w:p>
    <w:p>
      <w:r>
        <w:t>Nach dem Gesagten wäre die Nachtragung von Beitragszeiten für die Jahre 1957 bis 1958 hinsichtlich des ersten Arbeitgebers des Beschwerdeführers noch möglich, wenn für die entsprechende (zusätzliche) Beitragsleistung der volle Beweis erbracht würde. Mögen die Ausführungen des Beschwerdeführers auch glaubhaft erscheinen, so konnte er weder den Einbehalt der Beiträge noch eine eventuelle Vereinbarung einer Nettolohnentschädigung mit dem ersten Arbeitgeber - über die vorhandenen Beitragseinträge hinaus - rechtsgenüglich beweisen. So kann er mit der Aufenthaltsbewilligung B weder die tatsächliche Ausübung einer Erwerbstätigkeit noch vor allem die Entrichtung von AHV-Beiträgen für allfällig bezogene Löhne beweisen. Damit kommt eine Berichtigung des individuellen Beitragskontos des Beschwerdeführers nicht in Betracht. Mangels anderweitiger Nachweise des Arbeitgebers durfte und musste die Vorinstanz auf die besagte Tabelle abstellen.</w:t>
      </w:r>
    </w:p>
    <w:p>
      <w:r>
        <w:rPr>
          <w:b/>
        </w:rPr>
        <w:t>E. 4.4.4</w:t>
      </w:r>
    </w:p>
    <w:p>
      <w:r>
        <w:t>Was den zweiten Arbeitgeber des Beschwerdeführers für die Zeit von Dezember 1958 bis Mitte Juli 1959 anbelangt, so hat dieser nachweislich nicht mit der AHV-Ausgleichskasse abgerechnet. Mangels vollen Beweises für das Gegenteil (insbesondere was die erste Jahreshälfte 1959 betrifft) bleibt es bei den für die Jahre 1957 und 1958 errechneten 11 Beitragsmonaten.</w:t>
      </w:r>
    </w:p>
    <w:p>
      <w:r>
        <w:rPr>
          <w:b/>
        </w:rPr>
        <w:t>E. 4.5</w:t>
      </w:r>
    </w:p>
    <w:p>
      <w:r>
        <w:t>Zusammenfassend ist festzuhalten, dass die Mindestbeitragsdauer nach Art. 29 Abs. 1 AHVG für einen Rentenanspruch respektive für eine Rückvergütung der Beiträge nicht erfüllt bzw. rechtsgenüglich nachgewiesen ist, was zur Abweisung der Beschwerde führt.</w:t>
      </w:r>
    </w:p>
    <w:p>
      <w:r>
        <w:rPr>
          <w:b/>
        </w:rPr>
        <w:t>E. 5.1</w:t>
      </w:r>
    </w:p>
    <w:p>
      <w:r>
        <w:t>Das Verfahren ist für die Parteien kostenlos (Art. 85bis Abs. 2 AHVG), so dass keine Verfahrenskosten zu erheben sind.</w:t>
      </w:r>
    </w:p>
    <w:p>
      <w:r>
        <w:rPr>
          <w:b/>
        </w:rPr>
        <w:t>E. 5.2</w:t>
      </w:r>
    </w:p>
    <w:p>
      <w:r>
        <w:t>Entsprechend dem Ausgang des Verfahrens hat die Beschwerdeführerin keinen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