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C-4618/2008 vom 18. Februar 2009</w:t>
      </w:r>
    </w:p>
    <w:p>
      <w:r>
        <w:t>Bundesverwaltungsgericht, 2009-02-18, DE</w:t>
      </w:r>
    </w:p>
    <w:p>
      <w:r>
        <w:rPr>
          <w:b/>
        </w:rPr>
        <w:t xml:space="preserve">Quelle: </w:t>
      </w:r>
      <w:r>
        <w:t>https://mcp.opencaselaw.ch/entscheid/bvger_C-4618_2008</w:t>
      </w:r>
    </w:p>
    <w:p>
      <w:r>
        <w:t>FR: TAF C-4618/2008 du 18 février 2009</w:t>
      </w:r>
    </w:p>
    <w:p>
      <w:r>
        <w:t>IT: TAF C-4618/2008 del 18 febbraio 2009</w:t>
      </w:r>
    </w:p>
    <w:p>
      <w:pPr>
        <w:pStyle w:val="Heading2"/>
      </w:pPr>
      <w:r>
        <w:t>Regeste</w:t>
      </w:r>
    </w:p>
    <w:p>
      <w:r>
        <w:t>(Teil-)Liquidation von Vorsorgeeinrichtungen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beruflichen Alters-, Hinterlassenen- und Invalidenvorsorge (BVG, SR 831.40), dies in Verbindung mit Art. 33 lit. i VGG. Eine Ausnahme im Sinne von Art. 32 VGG liegt in casu nicht vor.</w:t>
      </w:r>
    </w:p>
    <w:p>
      <w:r>
        <w:rPr>
          <w:b/>
        </w:rPr>
        <w:t>E. 2</w:t>
      </w:r>
    </w:p>
    <w:p>
      <w:r>
        <w:t>Anfechtungsgegenstand des vorliegenden Verfahrens ist der Verwaltungsakt des Amtes für Stiftungen und berufliche Vorsorge des Kantons Basel-Landschaft vom 10. Juni 2008, welcher eine Verfügung im Sinne von Art. 5 Abs. 1 VwVG darstellt. Der Beschwerdeführer hat frist- und formgerecht (Art. 50 und 52 VwVG) Beschwerde erhoben. Er hat vor der Vorinstanz am Verfahren teilgenommen, ist durch die Verfügung als Destinatär besonders berührt und hat ein schutzwürdiges Interesse an deren Änderung oder Aufhebung (Art. 48 Abs. 1 lit. a, b und c VwVG). Nachdem auch der vom Bundesverwaltungsgericht geforderte Kostenvorschuss fristgerecht geleistet wurde, ist auf das ergriffene Rechtsmittel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119 Ib 36 E. 1b mit Hinweisen; Fritz Gygi, Bundesverwaltungsrechtspflege, 2. Aufl., Bern 1983, S. 44 ff.).</w:t>
      </w:r>
    </w:p>
    <w:p>
      <w:r>
        <w:rPr>
          <w:b/>
        </w:rPr>
        <w:t>E. 4.2</w:t>
      </w:r>
    </w:p>
    <w:p>
      <w:r>
        <w:t>Vorliegend wird die aufsichtsrechtliche Genehmigung der Übertragungsverträge im Rahmen der Totalliquidation der Beschwerdegegnerin (vgl. Dispositivziffer 1 der angefochtenen Verfügung) vom Beschwerdeführer nicht bestritten. Im Streite liegt demgegenüber die Genehmigung des diesbezüglichen Verteilungsplanes vom 14. April 2008 hinsichtlich der Verteilkriterien (vgl. Dispositivziffer 2), welche damit den Streitgegenstand bildet. So rügt der Beschwerdeführer im Wesentlichen, dass bei der Festlegung des Verteilungsplanes der Grundsatz der Gleichbehandlung verletzt worden sei, indem einerseits auf die Rentner wie er und andererseits auf die aktiven Versicherten verschiedene Kriterien angewandt worden seien; insbesondere hätte sein Vorbezug eines Teils des Alterskapitals zur Kürzung der Rentenhöhe und damit zur Kürzung seines Anteils an den freien Mitteln geführt, zumal die Rentenhöhe als Grundlage für die Berechnung des Anteils der Rentner an den freien Mitteln gewählt worden sei, wogegen die aktiven Versicherten in vergleichbarer Lage bevorteilt wären, da auf diese eben andere Berechnungsgrundlagen angewandt würden. Demgegenüber würden nach Ansicht der Vorinstanz und der Beschwerdegegnerin die Verteilkriterien die verschiedene Situation der beiden Destinatärsgruppen (Rentner und Aktive) - ohne Überschreitung und Missbrauch des Ermessens durch den Stiftungsrat - in angemessener, adäquater und geeigneter Weise berücksichtigen. Dies ist im Folgenden zu prüfen.</w:t>
      </w:r>
    </w:p>
    <w:p>
      <w:r>
        <w:rPr>
          <w:b/>
        </w:rPr>
        <w:t>E. 5.1</w:t>
      </w:r>
    </w:p>
    <w:p>
      <w:r>
        <w:t>Im Rahmen ihrer aufsichtsrechtlichen Aufgaben (Art. 62 BVG) und gemäss Art. 53c BVG entscheidet die Aufsichtsbehörde bei der Aufhebung von Vorsorgeeinrichtungen (Gesamtliquidation), ob die Voraussetzungen und das Verfahren erfüllt sind, und genehmigt den Verteilungsplan. Es obliegt jedoch dem Stiftungsrat, nach seinem Ermessen die Kriterien für den Verteilungsplan festzulegen. Dabei sind ihm lediglich (aber immerhin) Grenzen gesetzt durch den Stiftungszweck, die Grundsätze der Verhältnismässigkeit, der Gleichbehandlung und des guten Glaubens (vgl. BGE 119 Ib 46 E. 4 betr. Genehmigung von Verteilungsplänen; Kurt Schweizer: Rechtliche Grundlagen der Anwartschaft auf eine Stiftungsleistung in der beruflichen Vorsorge, Zürich 1985, S. 106-120). Dies wird auch durch Art. 53d Abs. 1 BVG bekräftigt, wonach die Liquidation der Vorsorgeeinrichtung unter Berücksichtigung des Gleichbehandlungsgrundsatzes und nach fachlich anerkannten Grundsätzen durchgeführt werden muss. Die Aufsichtsbehörde hat den Verteilungsplan auf diese Kriterien hin zu überprüfen und zu genehmigen und darf nicht ihr eigenes Ermessen anstelle desjenigen des Stiftungsrates setzen. Sie kann nur einschreiten, wenn der Entscheid des Stiftungsrates unhaltbar ist, weil er auf sachfremden Kriterien beruht oder einschlägige Kriterien ausser Acht lässt (vgl. BGE 128 II 394 E. 3.3, 108 II 497 E. 5, 101 Ib 235 E. 2; SVR 2001, BVG Nr. 14). Allerdings hat die Aufsichtsbehörde einzugreifen, falls sie einen Verstoss gegen gesetzliche oder statutarische Vorschriften erkennt. Die Aufsichtstätigkeit ist mithin als eine Rechtskontrolle ausgestaltet (Isabelle Vetter-Schreiber, Staatliche Haftung bei mangelhafter BVG-Aufsichtstätigkeit, Zürich 1996, S. 33f.; Carl Helbling, Personalvorsorge und BVG, 8. Auflage, Bern 2006, S. 735 in fine). Im Verteilungsplan sind primär der Umfang der zu verteilenden Mittel, der Kreis der begünstigten Personen und die Verteilkriterien zu regeln (vgl. Isabelle Vetter-Schreiber, Berufliche Vorsorge, Kommentar, Zürich 2005, S. 191).</w:t>
      </w:r>
    </w:p>
    <w:p>
      <w:r>
        <w:rPr>
          <w:b/>
        </w:rPr>
        <w:t>E. 5.2.1</w:t>
      </w:r>
    </w:p>
    <w:p>
      <w:r>
        <w:t>Nach dem Gebot der Gleichbehandlung ist Gleiches nach Massgabe seiner Gleichheit gleich und Ungleiches nach Massgabe seiner Ungleichheit ungleich zu behandeln. Nach ständiger Rechtsprechung verstösst ein Entscheid dann gegen Art. 8 Abs. 1 der Bundesverfassung vom 18. April 1999 (BV, SR 101), wenn er sich nicht auf ernsthafte Gründe stützen lässt, sinn- oder zwecklos ist oder wenn rechtliche Unterscheidungen getroffen werden, für die sich ein vernünftiger Grund nicht finden lässt (BGE 132 I 157 E. 4 mit Hinweisen). Zusätzlich verbietet der Grundsatz der Gleichbehandlung, Unterscheidungen ohne sachlichen Grund vorzunehmen, sofern die nicht gerechtfertigte Ungleichbehandlung im konkreten Einzelfall ein gewisses erhebliches Mindestmass erreicht (BGE 131 III E. 5).</w:t>
      </w:r>
    </w:p>
    <w:p>
      <w:r>
        <w:rPr>
          <w:b/>
        </w:rPr>
        <w:t>E. 5.2.2</w:t>
      </w:r>
    </w:p>
    <w:p>
      <w:r>
        <w:t>Im vorliegenden Fall hat der Stiftungsrat im strittigen Verteilungsplan vom 14. April 2008 unterschiedliche Berechnungsgrundlagen zur Bestimmung des Anteils an den freien Mitteln für die zwei Hauptkategorien von Destinatären, nämlich für die Rentner einerseits und die Aktiven andererseits, festgelegt. Eine solche unterschiedliche Behandlung ist sachlich durchaus gerechtfertigt, denn es gibt einen unbestrittenen faktischen Unterschied zwischen diesen beiden Destinatärsgruppen: die aktiven Versicherten zahlen im Rahmen eines laufenden Vorsorgeverhältnisses Beiträge ein, welche - so wie die Verzinsung ihres Sparkapitals - von der wirtschaftlichen Entwicklung abhängig sind, währenddem die Rentner eine lebenslängliche, in der Anfangshöhe gesicherte Rente beziehen. Diese grundlegende unterschiedliche Beziehung zur Vorsorgeeinrichtung darf im Verteilungsplan berücksichtigt werden (vgl. Isabelle Vetter-Schreiber, a.a.O. S. 191), was der Beschwerdeführer verkennt. Als Berechnungsgrundlage für die Rentner legte der Stiftungsrat den fünffachen Betrag der Rentenhöhe fest, und für die aktiven Versicherten hat er die Dienstjahre und das im Jahr 2006 durchschnittlich versicherte Monatsgehalt, respektive das beim früheren Austritt gültige Gehalt als massgebend erklärt. Damit wird jedenfalls der Grundsatz der Gleichbehandlung innerhalb einer Kategorie von Destinatären gewährleistet, was auch nicht bestritten wird.</w:t>
      </w:r>
    </w:p>
    <w:p>
      <w:r>
        <w:rPr>
          <w:b/>
        </w:rPr>
        <w:t>E. 5.2.3</w:t>
      </w:r>
    </w:p>
    <w:p>
      <w:r>
        <w:t>Eine direkte Konsequenz dieser an sich prima facie nicht zu beanstandenden unterschiedlichen Berechnungsgrundlagen für die Bestimmung des Anteils an den freien Mitteln der genannten beiden Destinatärskategorien ist die direkte Nichtberücksichtigung von Vorbezügen eines Teils des Alterskapitals zum Erwerb von Wohneigentum bei den Rentnern, bei denen ja die - durch einen Vorbezug reduzierte - Rentenhöhe massgebend ist, was zu einer unmittelbaren Reduktion ihres Anteils an den freien Mitteln führt. Dagegen wird der Anteil an den freien Mitteln der Aktiven durch einen solchen Vorbezug nicht tangiert respektive hat ein WEF-Vorbezug keinen unmittelbaren Einfluss auf das Gehalt als Berechnungsgrundlage für die Ermittlung des Anteils der Aktiven an freien Mitteln. Die Frage stellt sich mithin nicht in diesem Rahmen. Es bleibt somit näher zu prüfen, ob auch diese konkrete Konsequenz mit dem Grundsatz der Gleichbehandlung vereinbar ist. Ob dabei der - durch den Beschwerdeführer im Juni 2001 gestützt auf Art. 20 Abs. 5 des damals gültigen Vorsorgereglements von 1987 beantragte und im Juni 2004 vollzogene - Vorbezug eines Teils des Alterskapitals rechtens war oder ob das im Oktober 2001 vom Stiftungsrat neu genehmigte, rückwirkend ab dem 1. Januar 2001 in Kraft gesetzte, in der Frage des Vorbezugs einschränkendere Reglement auch auf den vorliegenden Fall anzuwenden gewesen wäre (vgl. act. 10), kann dagegen offen gelassen werden; denn der strittige Vorbezug durch den Beschwerdeführer ist tatsächlich im Juni 2004 mit der Genehmigung der Beschwerdegegnerin erfolgt und ändert an der grundsätzlichen Fragestellung der unterschiedlichen Behandlung zweier verschiedener Destinatärsgruppen nichts. Im Übrigen wäre das Bundesverwaltungsgericht nicht zuständig, im Einzelnen konkrete individuelle Ansprüche zu prüfen.</w:t>
      </w:r>
    </w:p>
    <w:p>
      <w:r>
        <w:rPr>
          <w:b/>
        </w:rPr>
        <w:t>E. 6</w:t>
      </w:r>
    </w:p>
    <w:p>
      <w:r>
        <w:t>Dagegen lässt sich weder eine Verletzung des Gleichbehandlungsgrundsatzes noch ein Missbrauch oder eine Überschreitung des Ermessens durch den Stiftungsrat auch in der geschilderten konkreten Auswirkung der unterschiedlichen Verteilkriterien für die beiden Destinatärskategorien erblicken: zu sehr haben diese Kategorien unterschiedliche Profile, insbesondere hinsichtlich der Anwartschaften. Die vorgenommene Differenzierung der Berechnungsgrundlagen ist somit nicht zu beanstanden, zumal beide durch eine gewisse nicht zu vermeidende Standardisierung Vor- und Nachteile in sich bergen. Im Übrigen kann auf Art. 30c Abs. 4 BVG hingewiesen werden, wonach mit einem WEF-Vorbezug gleichzeitig der Anspruch auf Vorsorgeleistungen entsprechend den jeweiligen Vorsorgereglementen und den technischen Grundlagen der Vorsorgeeinrichtung gekürzt wird, so dass sich auch bei der Berechnung des Anteils an den freien Mitteln eine Berücksichtigung im Prinzip nicht mehr rechtfertigen kann (vgl. Urteil der Eidg. Beschwerdekommission BVG vom 13. Oktober 2004, BKBVG 817/01, E. 5a). Daraus folgt, dass die angefochtene Verfügung einer richterlichen Prüfung standhält und die Beschwerde demzufolge abzuweisen ist.</w:t>
      </w:r>
    </w:p>
    <w:p>
      <w:r>
        <w:rPr>
          <w:b/>
        </w:rPr>
        <w:t>E. 7.1</w:t>
      </w:r>
    </w:p>
    <w:p>
      <w:r>
        <w:t>Entsprechend dem Ausgang des Verfahrens wird der Beschwerdeführer gemäss Art. 63 Abs. 1 VwVG kostenpflichtig. Die Verfahrens-kosten sind gemäss dem Reglement vom 21. Februar 2008 über die Kosten und Entschädigungen vor dem Bundesverwaltungsgericht (VGKE, SR 173.320.2) zu bestimmen. Sie werden auf Fr. 2'000.-- festgelegt.</w:t>
      </w:r>
    </w:p>
    <w:p>
      <w:r>
        <w:rPr>
          <w:b/>
        </w:rPr>
        <w:t>E. 7.2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Dasselbe gilt für die Beschwerdegegnerin; denn das Eidg. Versicherungsgericht hat mit Urteil vom 3. April 2000 erwogen, dass Trägerinnen oder Versicherer der beruflichen Vorsorge gemäss BVG grundsätzlich keinen Anspruch auf Parteientschädigung haben (BGE 126 V 149 E. 4), eine Praxis, welche das Bundesverwaltungsgericht (sowie früher die Eidg. Beschwerdekommission BVG) in ständiger Rechtsprechung auch im Rahmen von Aufsichtsstreitigkeiten analog angewandt hat. Im vorliegenden Fall gibt es keinen Grund, von dieser Regel abzuweichen, so dass der Beschwerdegegnerin als Trägerin der beruflichen Vorsorge gemäss BVG auch keine Parteientschädigung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