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C-4614/2015 vom 4. Mai 2016</w:t>
      </w:r>
    </w:p>
    <w:p>
      <w:r>
        <w:t>Bundesverwaltungsgericht, 2016-05-04, FR</w:t>
      </w:r>
    </w:p>
    <w:p>
      <w:r>
        <w:rPr>
          <w:b/>
        </w:rPr>
        <w:t xml:space="preserve">Quelle: </w:t>
      </w:r>
      <w:r>
        <w:t>https://mcp.opencaselaw.ch/entscheid/bvger_C-4614_2015</w:t>
      </w:r>
    </w:p>
    <w:p>
      <w:r>
        <w:t>FR: TAF C-4614/2015 du 4 mai 2016</w:t>
      </w:r>
    </w:p>
    <w:p>
      <w:r>
        <w:t>IT: TAF C-4614/2015 del 4 maggio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21 janvier 2015 à l'approbation du SEM en conformité avec la législation et la jurisprudence (à ce sujet, cf. ATF 141 II169 consid. 4.3.1, 4.3.2 et 6.1 et l'arrêt du Tribunal administratif fédéral C-1621/2013 du 21 mai 2015 consid. 3.2 à 3.4 et la jurisprudence citée). Il s'ensuit que le SEM et, a fortiori, le Tribunal ne sont pas liés par la décision du SPOP du 21 janvier 2015 de prolonger l'autorisation de séjour de la recourante et peuvent parfaitement s'écarter de l'appréciation faite par cette autorité.</w:t>
      </w:r>
    </w:p>
    <w:p>
      <w:r>
        <w:rPr>
          <w:b/>
        </w:rPr>
        <w:t>E. 4</w:t>
      </w:r>
    </w:p>
    <w:p>
      <w:r>
        <w:t>En l'espèce, il ressort des faits que les intéressés ont certes contracté mariage le 29 décembre 2007, mais que A._______ n'a rejoint son époux en Suisse qu'en date du 1er août 2010. Elle a vécu en communauté conjugale avec B._______ jusqu'au 27 août 2012, date à laquelle celui-ci a introduit une requête auprès du Tribunal d'arrondissement de Lausanne, afin que soient prononcées des mesures protectrices de l'union conjugale. Celles-ci sont intervenues par ordonnance du 24 septembre 2012. La recourante ne peut donc plus déduire un droit à une autorisation de séjour selon l'art. 42 al. 1 LEtr (cf. arrêts du Tribunal fédéral 2C_1188/2012 du 17 avril 2013 consid. 3.1, 2C_644/2010 du 12 mars 2011 consid. 4.1 et 2C_575/2009 du 1er juin 2010 consid. 3.5 [dans ce dernier cas, la séparation avait duré plus d'une année]).</w:t>
      </w:r>
    </w:p>
    <w:p>
      <w:r>
        <w:rPr>
          <w:b/>
        </w:rPr>
        <w:t>E. 5</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estréussie (let. a) ou - la poursuite du séjour en Suisse s'impose pour des raisons personnelles majeures (let. b).</w:t>
      </w:r>
    </w:p>
    <w:p>
      <w:r>
        <w:rPr>
          <w:b/>
        </w:rPr>
        <w:t>E. 5.1.1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II 113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5.1.2</w:t>
      </w:r>
    </w:p>
    <w:p>
      <w:r>
        <w:t>En l'espèce, la vie commune des conjoints a duré, à première vue, un peu plus de deux ans, soit du 1er août 2010 au 24 septembre 2012 au plus tard, date du prononcé des mesures protectrices de l'union conjugale et autorisant les époux B._______ à vivre séparément (cf. consid. 4 ci-avant). Il s'ensuit que la première condition posée par l'art. 50 al. 1 let. a LEtr, soit celle de la durée de trois ans de l'union conjugale, n'est en l'espèce pas remplie, ce qui n'est d'ailleurs pas contesté par la recourante. Cette condition et celle de l'intégration réussie étant cumulatives (ATF 136 II 113 consid. 3.3.3), il est renoncé à examiner plus avant cette dernière.</w:t>
      </w:r>
    </w:p>
    <w:p>
      <w:r>
        <w:rPr>
          <w:b/>
        </w:rPr>
        <w:t>E. 5.2</w:t>
      </w:r>
    </w:p>
    <w:p>
      <w:r>
        <w:t>Partant, A._______ ne saurait se prévaloir de l'art. 50 al. 1 let. a LEtr pour prétendre au renouvellement de son autorisation de séjour.</w:t>
      </w:r>
    </w:p>
    <w:p>
      <w:r>
        <w:rPr>
          <w:b/>
        </w:rPr>
        <w:t>E. 5.3</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en particulier, des violences psychiques subies de la part de son époux.</w:t>
      </w:r>
    </w:p>
    <w:p>
      <w:r>
        <w:rPr>
          <w:b/>
        </w:rPr>
        <w:t>E. 5.4</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de trois ans, soit que l'intégration n'est pas réussie (cf. ATF 138 II 393 consid. 3.1 et arrêts cités), mais où des raisons personnelles majeures l'imposent.</w:t>
      </w:r>
    </w:p>
    <w:p>
      <w:r>
        <w:rPr>
          <w:b/>
        </w:rPr>
        <w:t>E. 5.4.1</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5.4.2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Enfin, la simple existence de prises de contact avec des institutions spécialisées ne suffit pas à établir l'existence de violence conjugale d'une certaine intensité en tant qu'elle ne restitue pas le contenu de l'entretien professionnel ni les conclusions de cet entretien à propos de l'intensité des violences conjugales sur la victime (arrêt du Tribunal fédéral 2C_649/2015 du 1er avril 2016 consid. 4.2 et référence citée).</w:t>
      </w:r>
    </w:p>
    <w:p>
      <w:r>
        <w:rPr>
          <w:b/>
        </w:rPr>
        <w:t>E. 5.4.3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5.4.4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137 II 345 consid. 3.2.1 au sujet des différences avec les conditions d'application de l'art. 30 al. 1 let. b LEtr et consid. 3.2.2 et 3.2.3 sur la notion de "raisons personnelles majeures").</w:t>
      </w:r>
    </w:p>
    <w:p>
      <w:r>
        <w:rPr>
          <w:b/>
        </w:rPr>
        <w:t>E. 5.4.5</w:t>
      </w:r>
    </w:p>
    <w:p>
      <w:r>
        <w:t>En l'espèce, si le SEM n'a pas nié l'existence de violences conjugales dans le présent dossier, exercées par B._______ à l'encontre de A._______, il a toutefois considéré que celles-ci n'atteignaient pas le niveau d'intensité suffisante requis par la jurisprudence. Comme relevé au consid. 5.4.2 ci-avant, le niveau d'intensité suffisant des violences conjugales doit ressortir des moyens de preuve produit par celui qui s'en prévaut.</w:t>
      </w:r>
    </w:p>
    <w:p>
      <w:r>
        <w:rPr>
          <w:b/>
        </w:rPr>
        <w:t>E. 5.4.6</w:t>
      </w:r>
    </w:p>
    <w:p>
      <w:r>
        <w:t>En l'état, il ressort des pièces produites au dossier que A._______, venue rejoindre son époux en Suisse le 1er août 2010, a fait appel à deux reprises aux forces de police, la première fois en mars 2011, après que son époux l'eut giflée, et la seconde fois en juillet 2011, après que son époux l'eut saisie à la gorge. Dans les deux cas, la procédure a été close, la première fois par une ordonnance de non-entrée en matière (prononcée en mai 2001) et la seconde fois par une ordonnance de classement (prononcée en juin 2012). Par ailleurs, bien que l'époux eut été à l'origine de la requête en mesures de protection de l'union conjugale par sollicitation écrite du 27 août 2012), la convention passée par devant le Tribunal en date du 24 septembre 2012 attribue le logement conjugal à la recourante. Invitée à étayer ses déclarations, la recourante a produit plusieurs certificats médicaux à l'appui de son courrier du 8 avril 2014, adressé au SPOP. Ainsi, le certificat médical établi par la doctoresse M. C., psychiatre-psychothérapeuthe FMH, en date du 24 mars 2014 retient que la recourante est suivie à raison d'une séance à quinzaine suite à des difficultés psychiques consécutives à des violences conjugales subies et que les prestations sont prises en charge financièrement par le Centre LAVI du canton de Vaud dans le cadre de l'application de la LAVI. Le certificat médical établi par la doctoresse D. C., spécialiste en médecine générale, en date du 2 décembre 2013 retient pour sa part que sa signataire suit la recourante depuis le 5 octobre 2010 et que, depuis qu'elle la connaît, son état de santé s'est dégradé suite à des problèmes personnels. Enfin, l'attestation établie par le Centre MalleyPrairie en date du 22 novembre 2013 retient que B._______ a épousé en troisièmes noces A._______ au Congo. A son arrivée en Suisse, elle a alors découvert qu'il était endetté et qu'il avait une consommation d'alcool problématique et abusive. Selon ses déclarations, elle aurait été la victime de violences psychologiques et verbales de la part de son époux sous forme d'insultes quotidiennes et de chantage au permis d'établissement, suite aux reproches qu'elle formulait, selon lesquels elle ne recevait pas suffisamment d'argent pour subvenir à ses besoins ainsi qu'à ceux du ménage. Dans ce contexte, son époux s'en serait pris physiquement à elle à deux reprises, ce qui aurait nécessité l'intervention de la police. Par ailleurs, elle aurait également été entendue par le Ministère public mais aurait suspendu sa plainte. Sur le plan physique, la situation de stress constant vécue à domicile aurait influé sur son état de santé dès lors qu'elle souffrirait d'une tension trop élevée, pour laquelle elle aurait été suivie au CHUV. Enfin, bien que séparée de son époux, elle ne se sentirait toujours pas en sécurité, craignant d'être agressée à son domicile par celui-ci. Outre ces trois documents, l'intéressée a encore produit une attestation délivrée par le Centre LAVI en date du 22 novembre 2013, la reconnaissant comme victime d'infractions au sens de l'art. 1 LAVI pour voies de faits réitérées à plusieurs reprises (art. 126 al. 2 CP) et menaces (art. 180 al. 2 CP). Par courrier du 16 septembre 2015, la recourante a complété son dossier en produisant un nouveau certificat médical, établi par la doctoresse M. C. le 20 août 2015. Ce document, qui confirme les précédentes déclarations faites par l'intéressée auprès du Centre MalleyPrairie en les complétant, retient ainsi que l'intéressée était à son arrivée en Suisse totalement dépendante de son époux sur le plan financier, celui-ci ne lui donnant pas d'argent pour les dépenses quotidiennes et ne contractant pas d'assurance maladie à son nom. La recourante aurait vécu avec l'argent remis par sa mère jusqu'au moment où, quelques semaines après son arrivée, elle aurait été en mesure de trouver un emploi temporaire dans les nettoyages. La relation avec son époux serait très vite devenue très tendue, ce dernier formulant rapidement des reproches injustifiés à son encontre, sans qu'elle puisse se défendre, la traitant de "pute", d'"imbécile" et de "bonne à rien". Il l'aurait humiliée et dévalorisée au sujet de sa situation en Suisse ainsi que de la dépendance financière et administrative la liant à lui. Lorsqu'elle aurait essayé de se défendre, il l'aurait menacée physiquement, déclarant qu'il allait lui "casser la gueule" et l'"envoyer à l'hôpital". Par ailleurs, son époux aurait eu une attitude très contrôlante à son égard, fouillant dans ses affaires et la suivant sur son lieu de travail, de sorte que la recourante se serait sentie à sa merci et sous son emprise. Enfin, sous l'emprise de l'alcool, il serait devenu de plus en plus violent, aboutissant aux agressions subies en mars et juillet 2011. Malgré les avertissements du procureur, l'époux de la recourante n'aurait pas cessé de la menacer ni de l'humilier verbalement au point qu'elle aurait fait un malaise au domicile conjugal et aurait dû être conduite en ambulance à l'hôpital. A la suite de ce malaise, elle aurait bénéficié d'un arrêt de travail pour une durée de deux semaines. Dans le cadre du diagnostic, la doctoresse a retenu que la recourante se trouvait, lors de son arrivée à son cabinet, dans un état de vulnérabilité psychique important. Elle présentait un état dépressif moyen avec syndromes somatiques et des symptômes anxieux, l'amenant à ressentir des difficultés à mener à bien les activités du quotidien, au niveau professionnel, social et de son ménage. De l'avis de la doctoresse, l'apparition des troubles constatés est consécutive aux violences psychiques et physiques dont la recourante a été la victime durant les deux années de vie commune avec son époux. Dans une attestation délivrée le 16 juillet 2015, la doctoresse M. C. a relevé que la recourante avait débuté un suivi à son cabinet en date du 9 décembre 2013 en raison de difficultés psychiques secondaires à la violence conjugale subie et que le traitement était toujours en cours actuellement.</w:t>
      </w:r>
    </w:p>
    <w:p>
      <w:r>
        <w:rPr>
          <w:b/>
        </w:rPr>
        <w:t>E. 5.4.7</w:t>
      </w:r>
    </w:p>
    <w:p>
      <w:r>
        <w:t>S'il est ainsi exact que la recourante n'a entrepris des démarches en vue de se faire reconnaître comme une victime d'une atteinte directe à son intégrité corporelle, sexuelle ou psychique, du fait d'une infraction, au sens de l'art. 1 LAVI que dans le contexte de la requête en prolongation de son autorisation de séjour, il n'en demeure pas moins que le vécu aux côtés de son époux a eu un impact incontestable sur sa santé physique et psychique, et qui a été étayé de manière crédible par un certain nombre de certificats médicaux. Dans ces circonstances, il importe également peu que ce soit B._______ qui a mis un terme à l'union conjugale en sollicitant par courrier du 27 août 2012 le prononcé de mesures protectrices de l'union conjugale. En effet, d'une part, il convient de rappeler qu'il s'est vu ordonner - dans ce contexte - de quitter le foyer conjugal et, que, d'autre part, il ressort à suffisance des certificats médicaux produits que son comportement a induit de manière directe un état dépressif chez son épouse, pour lequel elle a dû être prise en charge sur une durée conséquente, lui-même ne faisant état d'aucun motif à même de remettre en question cette conclusion.</w:t>
      </w:r>
    </w:p>
    <w:p>
      <w:r>
        <w:rPr>
          <w:b/>
        </w:rPr>
        <w:t>E. 5.5</w:t>
      </w:r>
    </w:p>
    <w:p>
      <w:r>
        <w:t>En considération de ce qui précède, le Tribunal parvient à la conclusion que c'est à tort que le SEM n'a pas retenu l'existence d'une raison personnelle majeure au sens de l'art. 50 al. 1 let. b LEtr dans le présent cas, basé sur la reconnaissance de l'existence de violences conjugales au sens de l'art. 50 al. 2 LEtr, au sein de l'union conjugale que la recourante formait avec son époux. Dans ces circonstances, la situation de l'intéressée devant être considérée, pour elle-même déjà, comme constitutive d'une raison personnelle majeure au sens de l'art. 50 al. 2 LEtr, il est superflu d'examiner la question de sa réintégration dans son pays d'origine.</w:t>
      </w:r>
    </w:p>
    <w:p>
      <w:r>
        <w:rPr>
          <w:b/>
        </w:rPr>
        <w:t>E. 6.1</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w:t>
      </w:r>
    </w:p>
    <w:p>
      <w:r>
        <w:rPr>
          <w:b/>
        </w:rPr>
        <w:t>E. 6.2</w:t>
      </w:r>
    </w:p>
    <w:p>
      <w:r>
        <w:t>Obtenant gain de cause, la recourante n'a pas à supporter de frais de procédure (art. 63 al. 1 a contrario et al. 3 PA). L'avance de 1'200 francs versée le 5 septembre 2015 lui sera restituée.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 ss FITAF, que le versement d'un montant de 1'000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