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C-4612/2010 vom 15. März 2012</w:t>
      </w:r>
    </w:p>
    <w:p>
      <w:r>
        <w:t>Bundesverwaltungsgericht, 2012-03-15, DE</w:t>
      </w:r>
    </w:p>
    <w:p>
      <w:r>
        <w:rPr>
          <w:b/>
        </w:rPr>
        <w:t xml:space="preserve">Quelle: </w:t>
      </w:r>
      <w:r>
        <w:t>https://mcp.opencaselaw.ch/entscheid/bvger_C-4612_2010</w:t>
      </w:r>
    </w:p>
    <w:p>
      <w:r>
        <w:t>FR: TAF C-4612/2010 du 15 mars 2012</w:t>
      </w:r>
    </w:p>
    <w:p>
      <w:r>
        <w:t>IT: TAF C-4612/2010 del 15 marzo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Nebst dem Beschwerdeführer 2 als Verfügungsbetroffenem ist auch der Beschwerdeführer 1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liegt das Gesuch eines indischen Staats­angehörigen um Erteilung eines Visums für einen dreimonatigen Auf­enthalt in der Schweiz zugrunde. Da sich der Beschwerdeführer 2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Der Beschwerdeführer 2 unterliegt als indischer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des Beschwerdeführers 2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Indien gehört mit seinem Wirtschaftswachstum von 8,5% zu den am stärksten expandierenden Volkswirtschaften der Welt. Trotzdem bleibt dieses Land mit einem durchschnittlichen jährlichen Pro-Kopf-Einkommen von nur 1'339 USD und enormen Defiziten in der sozialen Infrastruktur weiterhin ein Entwicklungsland. Das hohe Wachstum der letzten Jahre hat die regionalen Entwicklungsunterschiede auf dem Subkontinent und vor allem das zunehmende Einkommensgefälle zwischen der expandierenden städtischen Mittelschicht und der überwiegend armen Bevölkerung auf dem Lande, wo noch knapp 70% aller Inder leben, stärker hervortreten lassen. Knapp 30% der Bevölkerung leben unterhalb der Armutsgrenze von 1 USD pro Kopf/Tag und mehr als 50% von weniger als 2 USD. Wachstum und Wohlstand sind vor allem dem Dienstleistungssektor zu verdanken, der mit 57,3% den grössten Anteil am Brutto-Inland-Produkt (BIP) ausmacht. Die überwiegende Mehrheit der indischen Bevölkerung lebt in überkommenen ländlich-agraren Strukturen und bleibt wirtschaftlich marginalisiert. Der BIP-Anteil der Landwirtschaft sinkt seit Jahren kontinuierlich und beträgt nur noch 14,2%. Angesichts gravierenden Kapitalmangels, viel zu kleiner Anbauflächen, stagnierender Erträge und fehlender Absatzstrukturen bleibt der Sektor, von dem weiterhin über die Hälfte aller Inder direkt abhängen, Hauptsorge jeder indischen Regierung (Quellen: Länder- und Reisehinweise auf der Webseite des deutschen Auswärtigen Amtes, www.auswaertiges-amt.de, Stand September 2011, Länderinformation auf der Webseite des Staatssekretariats für Wirtschaft [SECO], www.seco.admin.ch, Stand Januar 2012, beide Seiten besucht im Februar 2012). Die Bereitschaft, das Land auf der Suche nach besseren Lebensbedingungen zu verlassen, zeigt sich erfahrungsgemäss besonders stark bei jüngeren und ungebundenen Personen. Ein im Ausland bestehendes soziales Beziehungsnetz (Freunde oder Verwandte) kann den Entscheid, auszuwandern, erleichtern. In Anbetracht der insgesamt schwierigen Verhältnisse in Indien ist nicht zu beanstanden, dass die Vorinstanz das Risiko einer nicht fristgerechten Wiederausreise allgemein als hoch einschätzte.</w:t>
      </w:r>
    </w:p>
    <w:p>
      <w:r>
        <w:rPr>
          <w:b/>
        </w:rPr>
        <w:t>E. 5.4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Beschwerdeführer 2 handelt es sich um einen mittlerweile 25-jährigen, unverheirateten Mann, welcher in einem Dorf in Nordindien (Bundesstaat Punjab) lebt. Zu den familiären Verhältnissen wurden von den Beteiligten weder im Gesuchsverfahren noch auf Beschwerdeebene nähere Angaben gemacht, sondern lediglich angeführt, alle Familienangehörigen des Beschwerdeführers 2 lebten in Indien. Es kann demnach nicht davon ausgegangen werden, in dessen persönlichem oder familärem Umfeld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Auch die wirtschaftlichen Verhältnisse bieten keine besondere Gewähr für eine Wiederausreise. Im Visumsverfahren gab der Beschwerdeführer 2 an, er sei in der Landwirtschaft tätig, was ebenfalls vom Gastgeber bestätigt wurde. In ihrer Replik stellen die Beschwerdeführer die Vermutung der Vorinstanz, wonach es sich bei der Familie des Beschwerdeführers 2 um eine bäuerliche Mehrgenerationen-Gemeinschaft mit dem Grossvater als Oberhaupt handle (vgl. Vernehmlassung vom 4. August 2010), hingegen entschieden in Abrede. Unter Beilage verschiedener Beweismittel ("Affidavit", "Valuation Report" mit Auszug aus dem Grundbuch) machen sie geltend, der Eingeladene sei selbständiger Landwirt und führe in alleiniger Verantwortung einen Bauernhof mit Milch-, Gemüse- und Getreideproduktion, unterlassen es jedoch nach wie vor, nähere Angaben zu den Erwerbseinkünften des Beschwerdeführers 2 zu machen. Angesichts der erwähnten schwierigen Situation, mit der viele Landwirte in Indien zu kämpfen haben, ist anzunehmen, dass sich aus der Landwirtschaft - auch für lokale Verhältnisse - in aller Regel nur ein geringes Einkommen erwirtschaften lässt. Abgesehen davon lässt der Umstand, dass vom Beschwerdeführer 2 gleich eine dreimonatige Landesabwesenheit geplant ist, nicht darauf schliessen, dessen Präsenz sei für Haus und Hof unverzichtbar; aufgrund der Aktenlage ist davon auszugehen, die Bewirtschaftung des insgesamt bloss 2 Hektaren grossen Gutsbetriebs könne durchaus für längere Zeit auf andere Weise sichergestellt werden. In der Beschwerde wird denn auch darauf hingewiesen, während der Abwesenheit des Sohnes werde der Bauernbetrieb durch dessen Vater weitergeführt, was aus betrieblicher Sicht ohne weiteres machbar sei. Vor diesem Hintergrund sowie angesichts des vorgesehenen dreimonatigen Auslandaufenthaltes, der vom Gastgeber finanziert werden muss, ist nicht anzunehmen, der Beschwerdeführer 2 verfüge tatsächlich über eine massgebliche berufliche Verankerung bzw. eine gesicherte wirtschaftliche Existenz in seinem Heimatland, welche die Gefahr eines Verbleibens in der Schweiz bzw. im Schengen-Raum über den deklarierten Zeitraum hinaus als unwahrscheinlich erscheinen liesse.</w:t>
      </w:r>
    </w:p>
    <w:p>
      <w:r>
        <w:rPr>
          <w:b/>
        </w:rPr>
        <w:t>E. 6.3</w:t>
      </w:r>
    </w:p>
    <w:p>
      <w:r>
        <w:t>Vor dem allgemeinen und persönlichen Hintergrund konnte die Vorinstanz demnach willkürfrei davon ausgehen, dass keine hinreichende Gewähr für eine fristgerechte und anstandslose Wiederausreise des Beschwerdeführers 2 nach einem Besuchsaufenthalt besteht. An dieser Einschätzung vermögen die gegenteiligen Zusicherungen auf Beschwerdeebene sowie der Umstand, dass der Beschwerdeführer 1 inzwischen über das Schweizer Bürgerrecht verfügt, nichts zu ändern. Als Gastgeber kann er mit rechtlich verbindlicher Wirkung zwar für gewisse finanzielle Risiken im Zusammenhang mit dem Besuchsaufenthalt, nicht aber für ein bestimmtes Tun oder Unterlassen seines Gastes einstehen (vgl. in diesem Zusammenhang BVGE 2009/27 E. 9). Ebenfalls nicht zu einer andern Beurteilung führt der Hinweis, wonach der Beschwerdeführer 2 in der Vergangenheit nach einem neuntägigen Aufenthalt in Singapur sowie nach rund zehnwöchigem Besuchsaufenthalt bei einer Tante in Grossbritannien jeweils fristgerecht und anstandslos ins Heimatland zurückgekehrt sei, haben diese Auslandaufenthalte doch vor rund vier bzw. fünfeinhalb Jahren stattgefunden und können daher fraglos nicht als Vergleich herangezogen werden.</w:t>
      </w:r>
    </w:p>
    <w:p>
      <w:r>
        <w:rPr>
          <w:b/>
        </w:rPr>
        <w:t>E. 6.4</w:t>
      </w:r>
    </w:p>
    <w:p>
      <w:r>
        <w:t>Gründe für die Ausstellung eines Visums mit räumlich beschränkter Gültigkeit (vgl. E. 4.5) wurden von den Beschwerdeführern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Beschwerdeführer kostenpflichtig (Art. 63 Abs. 1 VwVG). Die Verfahrenskosten sind auf Fr. 700.-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